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F4C" w:rsidRPr="00165482" w:rsidRDefault="001C320B" w:rsidP="00165482">
      <w:pPr>
        <w:autoSpaceDE w:val="0"/>
        <w:autoSpaceDN w:val="0"/>
        <w:adjustRightInd w:val="0"/>
        <w:spacing w:line="360" w:lineRule="auto"/>
        <w:jc w:val="center"/>
        <w:rPr>
          <w:rFonts w:ascii="Times New Roman" w:eastAsia="Calibri" w:hAnsi="Times New Roman"/>
          <w:b/>
          <w:lang w:eastAsia="en-US"/>
        </w:rPr>
      </w:pPr>
      <w:r w:rsidRPr="00165482">
        <w:rPr>
          <w:rFonts w:ascii="Times New Roman" w:eastAsia="Calibri" w:hAnsi="Times New Roman"/>
          <w:b/>
          <w:bCs/>
          <w:lang w:eastAsia="en-US"/>
        </w:rPr>
        <w:t>LEI MUNICIPAL Nº 2.76</w:t>
      </w:r>
      <w:r w:rsidR="00165482" w:rsidRPr="00165482">
        <w:rPr>
          <w:rFonts w:ascii="Times New Roman" w:eastAsia="Calibri" w:hAnsi="Times New Roman"/>
          <w:b/>
          <w:bCs/>
          <w:lang w:eastAsia="en-US"/>
        </w:rPr>
        <w:t>4</w:t>
      </w:r>
      <w:r w:rsidR="00135F4C" w:rsidRPr="00165482">
        <w:rPr>
          <w:rFonts w:ascii="Times New Roman" w:eastAsia="Calibri" w:hAnsi="Times New Roman"/>
          <w:b/>
          <w:bCs/>
          <w:lang w:eastAsia="en-US"/>
        </w:rPr>
        <w:t xml:space="preserve">, DE </w:t>
      </w:r>
      <w:r w:rsidR="00165482" w:rsidRPr="00165482">
        <w:rPr>
          <w:rFonts w:ascii="Times New Roman" w:eastAsia="Calibri" w:hAnsi="Times New Roman"/>
          <w:b/>
          <w:bCs/>
          <w:lang w:eastAsia="en-US"/>
        </w:rPr>
        <w:t>11</w:t>
      </w:r>
      <w:r w:rsidR="00135F4C" w:rsidRPr="00165482">
        <w:rPr>
          <w:rFonts w:ascii="Times New Roman" w:eastAsia="Calibri" w:hAnsi="Times New Roman"/>
          <w:b/>
          <w:bCs/>
          <w:lang w:eastAsia="en-US"/>
        </w:rPr>
        <w:t xml:space="preserve"> DE </w:t>
      </w:r>
      <w:r w:rsidR="00165482">
        <w:rPr>
          <w:rFonts w:ascii="Times New Roman" w:eastAsia="Calibri" w:hAnsi="Times New Roman"/>
          <w:b/>
          <w:bCs/>
          <w:lang w:eastAsia="en-US"/>
        </w:rPr>
        <w:t>SETEMBRO</w:t>
      </w:r>
      <w:r w:rsidR="004F52D8" w:rsidRPr="00165482">
        <w:rPr>
          <w:rFonts w:ascii="Times New Roman" w:eastAsia="Calibri" w:hAnsi="Times New Roman"/>
          <w:b/>
          <w:bCs/>
          <w:lang w:eastAsia="en-US"/>
        </w:rPr>
        <w:t xml:space="preserve"> </w:t>
      </w:r>
      <w:r w:rsidR="00135F4C" w:rsidRPr="00165482">
        <w:rPr>
          <w:rFonts w:ascii="Times New Roman" w:eastAsia="Calibri" w:hAnsi="Times New Roman"/>
          <w:b/>
          <w:bCs/>
          <w:lang w:eastAsia="en-US"/>
        </w:rPr>
        <w:t>DE 201</w:t>
      </w:r>
      <w:r w:rsidR="00CD613C" w:rsidRPr="00165482">
        <w:rPr>
          <w:rFonts w:ascii="Times New Roman" w:eastAsia="Calibri" w:hAnsi="Times New Roman"/>
          <w:b/>
          <w:bCs/>
          <w:lang w:eastAsia="en-US"/>
        </w:rPr>
        <w:t>9</w:t>
      </w:r>
      <w:r w:rsidR="00135F4C" w:rsidRPr="00165482">
        <w:rPr>
          <w:rFonts w:ascii="Times New Roman" w:eastAsia="Calibri" w:hAnsi="Times New Roman"/>
          <w:b/>
          <w:bCs/>
          <w:lang w:eastAsia="en-US"/>
        </w:rPr>
        <w:t>.</w:t>
      </w:r>
    </w:p>
    <w:p w:rsidR="00E93C5D" w:rsidRPr="00165482" w:rsidRDefault="00E93C5D" w:rsidP="00165482">
      <w:pPr>
        <w:autoSpaceDE w:val="0"/>
        <w:autoSpaceDN w:val="0"/>
        <w:adjustRightInd w:val="0"/>
        <w:spacing w:line="360" w:lineRule="auto"/>
        <w:jc w:val="center"/>
        <w:rPr>
          <w:rFonts w:ascii="Times New Roman" w:eastAsia="Calibri" w:hAnsi="Times New Roman"/>
          <w:lang w:eastAsia="en-US"/>
        </w:rPr>
      </w:pPr>
    </w:p>
    <w:p w:rsidR="00165482" w:rsidRDefault="00165482" w:rsidP="001654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536"/>
        <w:jc w:val="both"/>
        <w:rPr>
          <w:rFonts w:ascii="Times New Roman" w:hAnsi="Times New Roman"/>
          <w:b/>
        </w:rPr>
      </w:pPr>
    </w:p>
    <w:p w:rsidR="00113AE0" w:rsidRPr="00165482" w:rsidRDefault="00165482" w:rsidP="001654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536"/>
        <w:jc w:val="both"/>
        <w:rPr>
          <w:rFonts w:ascii="Times New Roman" w:hAnsi="Times New Roman"/>
        </w:rPr>
      </w:pPr>
      <w:r w:rsidRPr="00165482">
        <w:rPr>
          <w:rFonts w:ascii="Times New Roman" w:hAnsi="Times New Roman"/>
          <w:b/>
        </w:rPr>
        <w:t>Dispõe sobre as diretrizes orçamentárias para o exercício financeiro de 2020.</w:t>
      </w:r>
    </w:p>
    <w:p w:rsidR="00165482" w:rsidRPr="00165482" w:rsidRDefault="00165482" w:rsidP="00165482">
      <w:pPr>
        <w:spacing w:line="360" w:lineRule="auto"/>
        <w:ind w:firstLine="1418"/>
        <w:jc w:val="both"/>
        <w:rPr>
          <w:rFonts w:ascii="Times New Roman" w:hAnsi="Times New Roman"/>
          <w:b/>
          <w:bCs/>
        </w:rPr>
      </w:pPr>
    </w:p>
    <w:p w:rsidR="00165482" w:rsidRPr="00165482" w:rsidRDefault="00165482" w:rsidP="00165482">
      <w:pPr>
        <w:spacing w:line="360" w:lineRule="auto"/>
        <w:ind w:firstLine="1418"/>
        <w:jc w:val="both"/>
        <w:rPr>
          <w:rFonts w:ascii="Times New Roman" w:hAnsi="Times New Roman"/>
          <w:b/>
          <w:bCs/>
        </w:rPr>
      </w:pPr>
    </w:p>
    <w:p w:rsidR="00794DE3" w:rsidRPr="00165482" w:rsidRDefault="00165482" w:rsidP="00165482">
      <w:pPr>
        <w:spacing w:line="360" w:lineRule="auto"/>
        <w:ind w:firstLine="1418"/>
        <w:jc w:val="both"/>
        <w:rPr>
          <w:rFonts w:ascii="Times New Roman" w:hAnsi="Times New Roman"/>
        </w:rPr>
      </w:pPr>
      <w:r>
        <w:rPr>
          <w:rFonts w:ascii="Times New Roman" w:hAnsi="Times New Roman"/>
          <w:b/>
          <w:bCs/>
        </w:rPr>
        <w:t>CLEOMAR JOÃO SCANDOLARA</w:t>
      </w:r>
      <w:r w:rsidR="00794DE3" w:rsidRPr="00165482">
        <w:rPr>
          <w:rFonts w:ascii="Times New Roman" w:hAnsi="Times New Roman"/>
          <w:bCs/>
        </w:rPr>
        <w:t>, Prefeito Municipal</w:t>
      </w:r>
      <w:r w:rsidR="00BE3D1F" w:rsidRPr="00165482">
        <w:rPr>
          <w:rFonts w:ascii="Times New Roman" w:hAnsi="Times New Roman"/>
          <w:bCs/>
        </w:rPr>
        <w:t xml:space="preserve"> </w:t>
      </w:r>
      <w:r w:rsidR="00794DE3" w:rsidRPr="00165482">
        <w:rPr>
          <w:rFonts w:ascii="Times New Roman" w:hAnsi="Times New Roman"/>
          <w:bCs/>
        </w:rPr>
        <w:t>de São Valentim, Estado do Rio Grande do Sul, faço saber que a Câmara Municipal de Vereadores de São Valentim aprovou e eu sanciono a seguinte Lei</w:t>
      </w:r>
      <w:r w:rsidR="00794DE3" w:rsidRPr="00165482">
        <w:rPr>
          <w:rFonts w:ascii="Times New Roman" w:hAnsi="Times New Roman"/>
        </w:rPr>
        <w:t>:</w:t>
      </w:r>
    </w:p>
    <w:p w:rsidR="00113AE0" w:rsidRPr="00165482" w:rsidRDefault="00113AE0" w:rsidP="00165482">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hAnsi="Times New Roman"/>
          <w:b/>
        </w:rPr>
      </w:pPr>
    </w:p>
    <w:p w:rsidR="00165482" w:rsidRDefault="00165482" w:rsidP="00165482">
      <w:pPr>
        <w:pStyle w:val="Normal1"/>
        <w:spacing w:before="0" w:after="0"/>
        <w:ind w:firstLine="0"/>
        <w:jc w:val="center"/>
        <w:rPr>
          <w:rFonts w:ascii="Times New Roman" w:eastAsia="Arial" w:hAnsi="Times New Roman" w:cs="Times New Roman"/>
          <w:b/>
        </w:rPr>
      </w:pPr>
    </w:p>
    <w:p w:rsidR="00165482" w:rsidRPr="00165482" w:rsidRDefault="00165482" w:rsidP="00165482">
      <w:pPr>
        <w:pStyle w:val="Normal1"/>
        <w:spacing w:before="0" w:after="0"/>
        <w:ind w:firstLine="0"/>
        <w:jc w:val="center"/>
        <w:rPr>
          <w:rFonts w:ascii="Times New Roman" w:eastAsia="Arial" w:hAnsi="Times New Roman" w:cs="Times New Roman"/>
          <w:b/>
        </w:rPr>
      </w:pPr>
      <w:r w:rsidRPr="00165482">
        <w:rPr>
          <w:rFonts w:ascii="Times New Roman" w:eastAsia="Arial" w:hAnsi="Times New Roman" w:cs="Times New Roman"/>
          <w:b/>
        </w:rPr>
        <w:t>Capítulo I - Disposições Preliminares</w:t>
      </w:r>
    </w:p>
    <w:p w:rsidR="00165482" w:rsidRDefault="00165482" w:rsidP="00165482">
      <w:pPr>
        <w:pStyle w:val="Normal1"/>
        <w:spacing w:before="0" w:after="0"/>
        <w:rPr>
          <w:rFonts w:ascii="Times New Roman" w:eastAsia="Arial" w:hAnsi="Times New Roman" w:cs="Times New Roman"/>
        </w:rPr>
      </w:pPr>
    </w:p>
    <w:p w:rsid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Art. 1º Ficam estabelecidas, em cumprimento ao disposto no art. 165, § 2.º, da Constituição Federal, no art. 94 da Lei Orgânica do Município, e na Lei Complementar nº 101, de 04 de maio de 2000, </w:t>
      </w:r>
      <w:proofErr w:type="gramStart"/>
      <w:r w:rsidRPr="00165482">
        <w:rPr>
          <w:rFonts w:ascii="Times New Roman" w:eastAsia="Arial" w:hAnsi="Times New Roman" w:cs="Times New Roman"/>
        </w:rPr>
        <w:t>as diretrizes gerais</w:t>
      </w:r>
      <w:proofErr w:type="gramEnd"/>
      <w:r w:rsidRPr="00165482">
        <w:rPr>
          <w:rFonts w:ascii="Times New Roman" w:eastAsia="Arial" w:hAnsi="Times New Roman" w:cs="Times New Roman"/>
        </w:rPr>
        <w:t xml:space="preserve"> para elaboração do orçamento do Município, relativas ao exercício de 2020, compreendendo:</w:t>
      </w:r>
    </w:p>
    <w:p w:rsidR="00165482" w:rsidRPr="00165482" w:rsidRDefault="00165482" w:rsidP="00165482">
      <w:pPr>
        <w:pStyle w:val="Normal1"/>
        <w:spacing w:before="0" w:after="0"/>
        <w:rPr>
          <w:rFonts w:ascii="Times New Roman" w:eastAsia="Arial" w:hAnsi="Times New Roman" w:cs="Times New Roman"/>
        </w:rPr>
      </w:pP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 - as metas e riscos fiscais;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II - as prioridades e metas da administração municipal extraídas do Plano Plurianual para 2018/2021, Lei Municipal nº 2.684/2017 e Lei Municipal nº 2.685/2017.</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III - a organização e estrutura do orçamento;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IV - as diretrizes para elaboração e execução do orçamento e suas alterações;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V - as disposições relativas à dívida pública municipal;</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VI - as disposições relativas às despesas do Município com pessoal e encargos sociais;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VII - as disposições sobre alterações na legislação tributária;</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VIII - as disposições gerais.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 1º As diretrizes orçamentárias têm entre suas finalidades: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I - orientar a elaboração e a execução da Lei Orçamentária Anual para o alcance dos objetivos e das metas do Plano Plurianual – PPA;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lastRenderedPageBreak/>
        <w:t xml:space="preserve">II - ampliar a capacidade do Município de garantir o provimento de bens e serviços à população;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 2º A elaboração, fiscalização e controle da lei orçamentária anual para o exercício de 2020, bem como a aprovação e execução do orçamento fiscal e da seguridade social do Município, além de serem orientados para viabilizar o alcance dos objetivos declarados no PPA, devem: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I - priorizar o equilíbrio entre receitas e despesas;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II - evidenciar a transparência da gestão fiscal, observando-se o princípio da publicidade e permitindo amplo acesso da sociedade aos dados do orçamento, inclusive por meio eletrônico;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III - atingir as metas relativas a receitas, despesas, resultados primário e nominal e montante da dívida pública estabelecidos no Anexo I – Metas Fiscais desta Lei.</w:t>
      </w:r>
    </w:p>
    <w:p w:rsidR="00165482" w:rsidRPr="00165482" w:rsidRDefault="00165482" w:rsidP="00165482">
      <w:pPr>
        <w:pStyle w:val="Normal1"/>
        <w:spacing w:before="0" w:after="0"/>
        <w:rPr>
          <w:rFonts w:ascii="Times New Roman" w:eastAsia="Arial" w:hAnsi="Times New Roman" w:cs="Times New Roman"/>
        </w:rPr>
      </w:pPr>
    </w:p>
    <w:p w:rsidR="00165482" w:rsidRPr="00165482" w:rsidRDefault="00165482" w:rsidP="00165482">
      <w:pPr>
        <w:pStyle w:val="Normal1"/>
        <w:spacing w:before="0" w:after="0"/>
        <w:ind w:firstLine="0"/>
        <w:jc w:val="center"/>
        <w:rPr>
          <w:rFonts w:ascii="Times New Roman" w:eastAsia="Arial" w:hAnsi="Times New Roman" w:cs="Times New Roman"/>
          <w:b/>
        </w:rPr>
      </w:pPr>
      <w:bookmarkStart w:id="0" w:name="_1fob9te" w:colFirst="0" w:colLast="0"/>
      <w:bookmarkEnd w:id="0"/>
      <w:r w:rsidRPr="00165482">
        <w:rPr>
          <w:rFonts w:ascii="Times New Roman" w:eastAsia="Arial" w:hAnsi="Times New Roman" w:cs="Times New Roman"/>
          <w:b/>
        </w:rPr>
        <w:t>Capítulo II - Das Metas e Riscos Fiscais</w:t>
      </w:r>
    </w:p>
    <w:p w:rsidR="00165482" w:rsidRDefault="00165482" w:rsidP="00165482">
      <w:pPr>
        <w:pStyle w:val="Normal1"/>
        <w:spacing w:before="0" w:after="0"/>
        <w:rPr>
          <w:rFonts w:ascii="Times New Roman" w:eastAsia="Arial" w:hAnsi="Times New Roman" w:cs="Times New Roman"/>
        </w:rPr>
      </w:pP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Art. 2</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xml:space="preserve"> As metas fiscais de receitas, despesas, resultado primário, nominal e montante da dívida pública para os exercícios de </w:t>
      </w:r>
      <w:proofErr w:type="gramStart"/>
      <w:r w:rsidRPr="00165482">
        <w:rPr>
          <w:rFonts w:ascii="Times New Roman" w:eastAsia="Arial" w:hAnsi="Times New Roman" w:cs="Times New Roman"/>
        </w:rPr>
        <w:t>2020 ,</w:t>
      </w:r>
      <w:proofErr w:type="gramEnd"/>
      <w:r w:rsidRPr="00165482">
        <w:rPr>
          <w:rFonts w:ascii="Times New Roman" w:eastAsia="Arial" w:hAnsi="Times New Roman" w:cs="Times New Roman"/>
        </w:rPr>
        <w:t>2021 e  2022, de que trata o art. 4</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xml:space="preserve"> da Lei Complementar n° 101/2000, são as identificadas no </w:t>
      </w:r>
      <w:r w:rsidRPr="00165482">
        <w:rPr>
          <w:rFonts w:ascii="Times New Roman" w:eastAsia="Arial" w:hAnsi="Times New Roman" w:cs="Times New Roman"/>
          <w:b/>
        </w:rPr>
        <w:t xml:space="preserve">Anexo I, </w:t>
      </w:r>
      <w:r w:rsidRPr="00165482">
        <w:rPr>
          <w:rFonts w:ascii="Times New Roman" w:eastAsia="Arial" w:hAnsi="Times New Roman" w:cs="Times New Roman"/>
        </w:rPr>
        <w:t>composto dos seguintes demonstrativos: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 - das metas fiscais anuais de acordo com o art. 4</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 1</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da LC nº 101/2000, acompanhado da memória e metodologia de cálculo;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II – da avaliação do cumprimento das metas fiscais relativas ao ano de 2017;</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III - das metas fiscais previstas para 2020, 2021 e 2022,</w:t>
      </w:r>
      <w:proofErr w:type="gramStart"/>
      <w:r w:rsidRPr="00165482">
        <w:rPr>
          <w:rFonts w:ascii="Times New Roman" w:eastAsia="Arial" w:hAnsi="Times New Roman" w:cs="Times New Roman"/>
        </w:rPr>
        <w:t xml:space="preserve">  </w:t>
      </w:r>
      <w:proofErr w:type="gramEnd"/>
      <w:r w:rsidRPr="00165482">
        <w:rPr>
          <w:rFonts w:ascii="Times New Roman" w:eastAsia="Arial" w:hAnsi="Times New Roman" w:cs="Times New Roman"/>
        </w:rPr>
        <w:t>comparadas com as fixadas nos exercícios de 2017, 2018 e 2019;</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IV - da evolução do patrimônio líquido, conforme o art. 4</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 2</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inciso III, da LC nº 101/2000;</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V - da origem e aplicação dos recursos obtidos com a alienação de ativos, em cumprimento ao disposto no art. 4</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 2</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inciso III, da LC nº 101/2000;</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VI - da estimativa e compensação da renúncia de receita, conforme art. 4</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 2</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inciso V, da LC nº 101/2000;</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lastRenderedPageBreak/>
        <w:t>VII – da margem de expansão das despesas obrigatórias de caráter continuado, conforme art. 4</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 2</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inciso V, da Lei Complementar nº 101/2000.</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1</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xml:space="preserve"> As metas fiscais estabelecidas no Anexo I desta Lei poderão ser ajustadas quando do encaminhamento do projeto de lei orçamentária anual, se verificadas alterações no comportamento das variáveis macroeconômicas e da execução das receitas e despesas, apresentadas em Anexo específico, e acompanhadas de justificativas técnicas e respectivas memórias e metodologias de cálculo.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2</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xml:space="preserve"> Durante o exercício de 2020, a meta resultado primário prevista no demonstrativo referido no inciso I do caput, poderá ser reduzida até o montante que corresponder à frustração da arrecadação das receitas que são objeto de transferência constitucional, com base nos </w:t>
      </w:r>
      <w:proofErr w:type="spellStart"/>
      <w:r w:rsidRPr="00165482">
        <w:rPr>
          <w:rFonts w:ascii="Times New Roman" w:eastAsia="Arial" w:hAnsi="Times New Roman" w:cs="Times New Roman"/>
        </w:rPr>
        <w:t>arts</w:t>
      </w:r>
      <w:proofErr w:type="spellEnd"/>
      <w:r w:rsidRPr="00165482">
        <w:rPr>
          <w:rFonts w:ascii="Times New Roman" w:eastAsia="Arial" w:hAnsi="Times New Roman" w:cs="Times New Roman"/>
        </w:rPr>
        <w:t>. 158 e 159 da Constituição Federal.</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3</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xml:space="preserve"> Para os fins do disposto no § 2º deste artigo, considera-se frustração de arrecadação, a diferença a menor que for observada entre os valores que forem arrecadados em cada mês, em comparação com igual mês do ano anterior.</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4</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xml:space="preserve"> Nas hipóteses dos §§ 1º e 2º deste artigo, e para efeitos de avaliação do cumprimento das metas fiscais na audiência pública prevista no art. 9</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 4</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da LC nº 101/2000, as receitas e despesas realizadas serão comparadas com as metas ajustadas.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Art. 3</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xml:space="preserve"> Estão discriminados, no </w:t>
      </w:r>
      <w:r w:rsidRPr="00165482">
        <w:rPr>
          <w:rFonts w:ascii="Times New Roman" w:eastAsia="Arial" w:hAnsi="Times New Roman" w:cs="Times New Roman"/>
          <w:b/>
        </w:rPr>
        <w:t>Anexo II</w:t>
      </w:r>
      <w:r w:rsidRPr="00165482">
        <w:rPr>
          <w:rFonts w:ascii="Times New Roman" w:eastAsia="Arial" w:hAnsi="Times New Roman" w:cs="Times New Roman"/>
        </w:rPr>
        <w:t>, que integra esta Lei, os Riscos Fiscais, onde são avaliados os riscos orçamentários e os passivos contingentes capazes de afetar as contas públicas, em cumprimento ao art. 4</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 3</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da LC nº 101/2000.</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1</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vertAlign w:val="superscript"/>
        </w:rPr>
        <w:t xml:space="preserve"> </w:t>
      </w:r>
      <w:r w:rsidRPr="00165482">
        <w:rPr>
          <w:rFonts w:ascii="Times New Roman" w:eastAsia="Arial" w:hAnsi="Times New Roman" w:cs="Times New Roman"/>
        </w:rPr>
        <w:t xml:space="preserve">Consideram-se passivos contingentes e outros riscos fiscais possíveis obrigações a serem </w:t>
      </w:r>
      <w:proofErr w:type="gramStart"/>
      <w:r w:rsidRPr="00165482">
        <w:rPr>
          <w:rFonts w:ascii="Times New Roman" w:eastAsia="Arial" w:hAnsi="Times New Roman" w:cs="Times New Roman"/>
        </w:rPr>
        <w:t>cumpridas</w:t>
      </w:r>
      <w:proofErr w:type="gramEnd"/>
      <w:r w:rsidRPr="00165482">
        <w:rPr>
          <w:rFonts w:ascii="Times New Roman" w:eastAsia="Arial" w:hAnsi="Times New Roman" w:cs="Times New Roman"/>
        </w:rPr>
        <w:t xml:space="preserve"> em 2020, cuja existência será confirmada somente pela ocorrência ou não de um ou mais eventos futuros que não estejam totalmente sob controle do Município.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2</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vertAlign w:val="superscript"/>
        </w:rPr>
        <w:t xml:space="preserve"> </w:t>
      </w:r>
      <w:r w:rsidRPr="00165482">
        <w:rPr>
          <w:rFonts w:ascii="Times New Roman" w:eastAsia="Arial" w:hAnsi="Times New Roman" w:cs="Times New Roman"/>
        </w:rPr>
        <w:t>Também são passivos contingentes, obrigações decorrentes de eventos passados, cuja liquidação em 2020 seja improvável ou cujo valor não possa ser tecnicamente estimado.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3</w:t>
      </w:r>
      <w:r w:rsidRPr="00165482">
        <w:rPr>
          <w:rFonts w:ascii="Times New Roman" w:eastAsia="Arial" w:hAnsi="Times New Roman" w:cs="Times New Roman"/>
          <w:u w:val="single"/>
          <w:vertAlign w:val="superscript"/>
        </w:rPr>
        <w:t>o</w:t>
      </w:r>
      <w:proofErr w:type="gramStart"/>
      <w:r w:rsidRPr="00165482">
        <w:rPr>
          <w:rFonts w:ascii="Times New Roman" w:eastAsia="Arial" w:hAnsi="Times New Roman" w:cs="Times New Roman"/>
          <w:vertAlign w:val="superscript"/>
        </w:rPr>
        <w:t xml:space="preserve">  </w:t>
      </w:r>
      <w:proofErr w:type="gramEnd"/>
      <w:r w:rsidRPr="00165482">
        <w:rPr>
          <w:rFonts w:ascii="Times New Roman" w:eastAsia="Arial" w:hAnsi="Times New Roman" w:cs="Times New Roman"/>
        </w:rPr>
        <w:t>Caso se concretizem, os riscos fiscais serão atendidos com recursos da Reserva de Contingência e, sendo esta insuficiente, serão indicados, também, o excesso de arrecadação e o superávit financeiro do exercício anterior, se houver, obedecida a fonte de recursos correspondente.</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4</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xml:space="preserve"> Sendo esses recursos insuficientes, o Poder Executivo poderá reduzir as dotações destinadas para investimentos, desde que não comprometidas.</w:t>
      </w:r>
    </w:p>
    <w:p w:rsidR="00165482" w:rsidRPr="00165482" w:rsidRDefault="00165482" w:rsidP="00165482">
      <w:pPr>
        <w:pStyle w:val="Normal1"/>
        <w:spacing w:before="0" w:after="0"/>
        <w:rPr>
          <w:rFonts w:ascii="Times New Roman" w:eastAsia="Arial" w:hAnsi="Times New Roman" w:cs="Times New Roman"/>
        </w:rPr>
      </w:pPr>
    </w:p>
    <w:p w:rsidR="00165482" w:rsidRDefault="00165482" w:rsidP="00165482">
      <w:pPr>
        <w:pStyle w:val="Normal1"/>
        <w:spacing w:before="0" w:after="0"/>
        <w:jc w:val="center"/>
        <w:rPr>
          <w:rFonts w:ascii="Times New Roman" w:eastAsia="Arial" w:hAnsi="Times New Roman" w:cs="Times New Roman"/>
          <w:b/>
        </w:rPr>
      </w:pPr>
      <w:bookmarkStart w:id="1" w:name="_3znysh7" w:colFirst="0" w:colLast="0"/>
      <w:bookmarkEnd w:id="1"/>
      <w:r w:rsidRPr="00165482">
        <w:rPr>
          <w:rFonts w:ascii="Times New Roman" w:eastAsia="Arial" w:hAnsi="Times New Roman" w:cs="Times New Roman"/>
          <w:b/>
        </w:rPr>
        <w:t xml:space="preserve">Capítulo III - Das Metas e Prioridades da Administração </w:t>
      </w:r>
      <w:proofErr w:type="gramStart"/>
      <w:r w:rsidRPr="00165482">
        <w:rPr>
          <w:rFonts w:ascii="Times New Roman" w:eastAsia="Arial" w:hAnsi="Times New Roman" w:cs="Times New Roman"/>
          <w:b/>
        </w:rPr>
        <w:t>Pública Municipal Extraídas</w:t>
      </w:r>
      <w:proofErr w:type="gramEnd"/>
      <w:r w:rsidRPr="00165482">
        <w:rPr>
          <w:rFonts w:ascii="Times New Roman" w:eastAsia="Arial" w:hAnsi="Times New Roman" w:cs="Times New Roman"/>
          <w:b/>
        </w:rPr>
        <w:t xml:space="preserve"> do Plano Plurianual</w:t>
      </w:r>
    </w:p>
    <w:p w:rsidR="00165482" w:rsidRPr="00165482" w:rsidRDefault="00165482" w:rsidP="00165482">
      <w:pPr>
        <w:pStyle w:val="Normal1"/>
        <w:spacing w:before="0" w:after="0"/>
        <w:jc w:val="center"/>
        <w:rPr>
          <w:rFonts w:ascii="Times New Roman" w:eastAsia="Arial" w:hAnsi="Times New Roman" w:cs="Times New Roman"/>
          <w:b/>
        </w:rPr>
      </w:pP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Art. 4</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xml:space="preserve"> As metas e prioridades para o exercício financeiro de 2020 estão estruturadas de acordo com o Plano Plurianual para 2018/2021 - Lei Municipal nº 2.684/2017 e Lei Municipal nº 2.685/2017 e suas alterações, especificadas no </w:t>
      </w:r>
      <w:r w:rsidRPr="00165482">
        <w:rPr>
          <w:rFonts w:ascii="Times New Roman" w:eastAsia="Arial" w:hAnsi="Times New Roman" w:cs="Times New Roman"/>
          <w:b/>
        </w:rPr>
        <w:t>Anexo III</w:t>
      </w:r>
      <w:r w:rsidRPr="00165482">
        <w:rPr>
          <w:rFonts w:ascii="Times New Roman" w:eastAsia="Arial" w:hAnsi="Times New Roman" w:cs="Times New Roman"/>
        </w:rPr>
        <w:t>, integrante desta Lei, as quais terão precedência na alocação de recursos na Lei Orçamentária.</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1</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xml:space="preserve"> Os valores constantes no Anexo de que trata este artigo possuem caráter indicativo e não normativo, devendo servir de referência para o planejamento, podendo ser atualizados pela lei orçamentária ou através de créditos adicionais.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2</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xml:space="preserve"> A programação da despesa na Lei de Orçamento Anual para o exercício financeiro de 2020 observará o atingimento das metas fiscais estabelecidas e atenderá às prioridades e metas estabelecidas no Anexo de que trata o </w:t>
      </w:r>
      <w:r w:rsidRPr="00165482">
        <w:rPr>
          <w:rFonts w:ascii="Times New Roman" w:eastAsia="Arial" w:hAnsi="Times New Roman" w:cs="Times New Roman"/>
          <w:i/>
        </w:rPr>
        <w:t>caput</w:t>
      </w:r>
      <w:r w:rsidRPr="00165482">
        <w:rPr>
          <w:rFonts w:ascii="Times New Roman" w:eastAsia="Arial" w:hAnsi="Times New Roman" w:cs="Times New Roman"/>
        </w:rPr>
        <w:t xml:space="preserve"> deste artigo e aos seguintes objetivos básicos das ações de caráter continuado: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 – atendimento prioritário das despesas com pessoal e encargos sociais do Poder Executivo e do Poder Legislativo;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II - compromissos relativos ao serviço da dívida pública;</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III - despesas indispensáveis ao custeio e manutenção da administração municipal;</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IV – despesas com conservação e manutenção do patrimônio público evidenciadas nesta Lei.</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3</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xml:space="preserve"> As metas e prioridades de que trata o </w:t>
      </w:r>
      <w:r w:rsidRPr="00165482">
        <w:rPr>
          <w:rFonts w:ascii="Times New Roman" w:eastAsia="Arial" w:hAnsi="Times New Roman" w:cs="Times New Roman"/>
          <w:i/>
        </w:rPr>
        <w:t xml:space="preserve">caput </w:t>
      </w:r>
      <w:r w:rsidRPr="00165482">
        <w:rPr>
          <w:rFonts w:ascii="Times New Roman" w:eastAsia="Arial" w:hAnsi="Times New Roman" w:cs="Times New Roman"/>
        </w:rPr>
        <w:t>deste artigo, bem como as respectivas ações planejadas para o seu atingimento,</w:t>
      </w:r>
      <w:proofErr w:type="gramStart"/>
      <w:r w:rsidRPr="00165482">
        <w:rPr>
          <w:rFonts w:ascii="Times New Roman" w:eastAsia="Arial" w:hAnsi="Times New Roman" w:cs="Times New Roman"/>
        </w:rPr>
        <w:t xml:space="preserve">  </w:t>
      </w:r>
      <w:proofErr w:type="gramEnd"/>
      <w:r w:rsidRPr="00165482">
        <w:rPr>
          <w:rFonts w:ascii="Times New Roman" w:eastAsia="Arial" w:hAnsi="Times New Roman" w:cs="Times New Roman"/>
        </w:rPr>
        <w:t>poderão ser alteradas, se durante o período decorrido entre a apresentação desta Lei e a elaboração da proposta orçamentária para 2020 surgirem novas demandas ou situações em que haja necessidade da intervenção do Poder Público, ou em decorrência de créditos adicionais ocorridos.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4</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xml:space="preserve"> Na hipótese prevista no §3</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as alterações do Anexo de Metas e Prioridades serão encaminhadas juntamente com a proposta orçamentária para o próximo exercício.</w:t>
      </w:r>
    </w:p>
    <w:p w:rsidR="00165482" w:rsidRDefault="00165482" w:rsidP="00165482">
      <w:pPr>
        <w:pStyle w:val="Normal1"/>
        <w:spacing w:before="0" w:after="0"/>
        <w:rPr>
          <w:rFonts w:ascii="Times New Roman" w:eastAsia="Arial" w:hAnsi="Times New Roman" w:cs="Times New Roman"/>
        </w:rPr>
      </w:pPr>
    </w:p>
    <w:p w:rsidR="00165482" w:rsidRDefault="00165482" w:rsidP="00165482">
      <w:pPr>
        <w:pStyle w:val="Normal1"/>
        <w:spacing w:before="0" w:after="0"/>
        <w:rPr>
          <w:rFonts w:ascii="Times New Roman" w:eastAsia="Arial" w:hAnsi="Times New Roman" w:cs="Times New Roman"/>
        </w:rPr>
      </w:pPr>
    </w:p>
    <w:p w:rsidR="00165482" w:rsidRPr="00165482" w:rsidRDefault="00165482" w:rsidP="00165482">
      <w:pPr>
        <w:pStyle w:val="Normal1"/>
        <w:spacing w:before="0" w:after="0"/>
        <w:rPr>
          <w:rFonts w:ascii="Times New Roman" w:eastAsia="Arial" w:hAnsi="Times New Roman" w:cs="Times New Roman"/>
        </w:rPr>
      </w:pPr>
    </w:p>
    <w:p w:rsidR="00165482" w:rsidRDefault="00165482" w:rsidP="00165482">
      <w:pPr>
        <w:pStyle w:val="Normal1"/>
        <w:spacing w:before="0" w:after="0"/>
        <w:ind w:firstLine="0"/>
        <w:jc w:val="center"/>
        <w:rPr>
          <w:rFonts w:ascii="Times New Roman" w:eastAsia="Arial" w:hAnsi="Times New Roman" w:cs="Times New Roman"/>
          <w:b/>
        </w:rPr>
      </w:pPr>
      <w:bookmarkStart w:id="2" w:name="_2et92p0" w:colFirst="0" w:colLast="0"/>
      <w:bookmarkEnd w:id="2"/>
      <w:r w:rsidRPr="00165482">
        <w:rPr>
          <w:rFonts w:ascii="Times New Roman" w:eastAsia="Arial" w:hAnsi="Times New Roman" w:cs="Times New Roman"/>
          <w:b/>
        </w:rPr>
        <w:lastRenderedPageBreak/>
        <w:t>Capítulo IV - Da Estrutura e Organização do Orçamento</w:t>
      </w:r>
    </w:p>
    <w:p w:rsidR="00165482" w:rsidRPr="00165482" w:rsidRDefault="00165482" w:rsidP="00165482">
      <w:pPr>
        <w:pStyle w:val="Normal1"/>
        <w:spacing w:before="0" w:after="0"/>
        <w:jc w:val="center"/>
        <w:rPr>
          <w:rFonts w:ascii="Times New Roman" w:eastAsia="Arial" w:hAnsi="Times New Roman" w:cs="Times New Roman"/>
          <w:b/>
        </w:rPr>
      </w:pP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Art. 5º Para efeito desta Lei</w:t>
      </w:r>
      <w:proofErr w:type="gramStart"/>
      <w:r w:rsidRPr="00165482">
        <w:rPr>
          <w:rFonts w:ascii="Times New Roman" w:eastAsia="Arial" w:hAnsi="Times New Roman" w:cs="Times New Roman"/>
        </w:rPr>
        <w:t>, entende-se</w:t>
      </w:r>
      <w:proofErr w:type="gramEnd"/>
      <w:r w:rsidRPr="00165482">
        <w:rPr>
          <w:rFonts w:ascii="Times New Roman" w:eastAsia="Arial" w:hAnsi="Times New Roman" w:cs="Times New Roman"/>
        </w:rPr>
        <w:t xml:space="preserve"> por: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 - Programa: instrumento de organização da ação governamental visando à concretização dos objetivos pretendidos, mensurados por indicadores, conforme estabelecido no plano plurianual;</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II - Atividade: instrumento de programação para alcançar o objetivo de um programa, envolvendo um conjunto de operações que se realizam de modo contínuo e permanente, das quais resulta um produto necessário à manutenção da ação de governo;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III - Projeto: instrumento de programação para alcançar o objetivo de um programa, envolvendo um conjunto de operações, limitadas no tempo, das quais resulta um produto que concorre para a expansão ou aperfeiçoamento da ação de governo;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IV - Operação Especial: despesas que não contribuem para a manutenção das ações de governo, das quais não resulta um produto, e não geram contraprestação direta sob a forma de bens ou serviços;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V - Órgão Orçamentário: o maior nível da classificação institucional, que tem por finalidade agrupar unidades orçamentárias.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VI - Unidade Orçamentária: o menor nível da classificação institucional;</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 1º Na Lei de Orçamento, cada programa identificará as ações necessárias para atingir os seus objetivos, sob a forma de atividades, projetos ou operações especiais, especificando os respectivos valores, bem como os órgãos e as unidades orçamentárias responsáveis pela realização da ação.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 § 2º Cada atividade, projeto ou operação especial identificará a função e a </w:t>
      </w:r>
      <w:proofErr w:type="spellStart"/>
      <w:r w:rsidRPr="00165482">
        <w:rPr>
          <w:rFonts w:ascii="Times New Roman" w:eastAsia="Arial" w:hAnsi="Times New Roman" w:cs="Times New Roman"/>
        </w:rPr>
        <w:t>subfunção</w:t>
      </w:r>
      <w:proofErr w:type="spellEnd"/>
      <w:r w:rsidRPr="00165482">
        <w:rPr>
          <w:rFonts w:ascii="Times New Roman" w:eastAsia="Arial" w:hAnsi="Times New Roman" w:cs="Times New Roman"/>
        </w:rPr>
        <w:t xml:space="preserve"> às quais se </w:t>
      </w:r>
      <w:proofErr w:type="gramStart"/>
      <w:r w:rsidRPr="00165482">
        <w:rPr>
          <w:rFonts w:ascii="Times New Roman" w:eastAsia="Arial" w:hAnsi="Times New Roman" w:cs="Times New Roman"/>
        </w:rPr>
        <w:t>vinculam,</w:t>
      </w:r>
      <w:proofErr w:type="gramEnd"/>
      <w:r w:rsidRPr="00165482">
        <w:rPr>
          <w:rFonts w:ascii="Times New Roman" w:eastAsia="Arial" w:hAnsi="Times New Roman" w:cs="Times New Roman"/>
        </w:rPr>
        <w:t xml:space="preserve"> de acordo com a Portaria MOG nº 42/1999 e suas atualizações.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3º A classificação das unidades orçamentárias atenderá, no que couber, ao disposto no art. 14 da Lei Federal nº 4.320/64.</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4º As operações especiais relacionadas ao pagamento de encargos gerais do Município, serão consignadas em unidade orçamentária específica.</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Art. 6º Independentemente do grupo de natureza de despesa em que for classificado, todo e qualquer crédito orçamentário deve ser consignado diretamente à unidade orçamentária à qual pertencem as ações correspondentes, vedando-se a consignação de </w:t>
      </w:r>
      <w:r w:rsidRPr="00165482">
        <w:rPr>
          <w:rFonts w:ascii="Times New Roman" w:eastAsia="Arial" w:hAnsi="Times New Roman" w:cs="Times New Roman"/>
        </w:rPr>
        <w:lastRenderedPageBreak/>
        <w:t xml:space="preserve">crédito a título de transferência a unidades orçamentárias integrantes dos </w:t>
      </w:r>
      <w:proofErr w:type="gramStart"/>
      <w:r w:rsidRPr="00165482">
        <w:rPr>
          <w:rFonts w:ascii="Times New Roman" w:eastAsia="Arial" w:hAnsi="Times New Roman" w:cs="Times New Roman"/>
        </w:rPr>
        <w:t>Orçamentos Fiscal</w:t>
      </w:r>
      <w:proofErr w:type="gramEnd"/>
      <w:r w:rsidRPr="00165482">
        <w:rPr>
          <w:rFonts w:ascii="Times New Roman" w:eastAsia="Arial" w:hAnsi="Times New Roman" w:cs="Times New Roman"/>
        </w:rPr>
        <w:t xml:space="preserve"> e da Seguridade Social.</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Parágrafo único. As operações entre órgãos, fundos e entidades previstas nos </w:t>
      </w:r>
      <w:proofErr w:type="gramStart"/>
      <w:r w:rsidRPr="00165482">
        <w:rPr>
          <w:rFonts w:ascii="Times New Roman" w:eastAsia="Arial" w:hAnsi="Times New Roman" w:cs="Times New Roman"/>
        </w:rPr>
        <w:t>Orçamentos Fiscal</w:t>
      </w:r>
      <w:proofErr w:type="gramEnd"/>
      <w:r w:rsidRPr="00165482">
        <w:rPr>
          <w:rFonts w:ascii="Times New Roman" w:eastAsia="Arial" w:hAnsi="Times New Roman" w:cs="Times New Roman"/>
        </w:rPr>
        <w:t xml:space="preserve"> e da Seguridade Social serão executadas obrigatoriamente por meio de empenho, liquidação e pagamento, nos termos da Lei Federal nº 4.320/64, utilizando-se a modalidade de aplicação 91 – Aplicação Direta Decorrente de Operação entre Órgãos, Fundos e Entidades Integrantes do Orçamento Fiscal e do Orçamento da Seguridade Social.</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Art. 7º Os orçamentos fiscal e da seguridade social discriminarão a despesa por elementos de despesa, na forma do art. 15, § 1º, da Lei Federal nº 4.320/64.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Art. 8º O Projeto de Lei Orçamentária Anual será encaminhado ao Poder Legislativo, conforme estabelecido no § 5º do art. 165 da Constituição Federal, no </w:t>
      </w:r>
      <w:proofErr w:type="spellStart"/>
      <w:r w:rsidRPr="00165482">
        <w:rPr>
          <w:rFonts w:ascii="Times New Roman" w:eastAsia="Arial" w:hAnsi="Times New Roman" w:cs="Times New Roman"/>
        </w:rPr>
        <w:t>art</w:t>
      </w:r>
      <w:proofErr w:type="spellEnd"/>
      <w:r w:rsidRPr="00165482">
        <w:rPr>
          <w:rFonts w:ascii="Times New Roman" w:eastAsia="Arial" w:hAnsi="Times New Roman" w:cs="Times New Roman"/>
        </w:rPr>
        <w:t xml:space="preserve"> 94 da Lei Orgânica do Município e no art. 2º, da Lei Federal nº 4.320/64, e será composto de:</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 - texto da Lei;</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II – consolidação dos quadros orçamentários;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1º Integrarão a consolidação dos quadros orçamentários a que se refere o inciso II, incluindo os complementos referenciados no art. 22, inciso III, da Lei Federal nº 4.320/64, os seguintes quadros: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 - discriminação da legislação básica da receita e da despesa dos orçamentos fiscal e da seguridade social;</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II – demonstrativo da evolução da receita, por origem de arrecadação, em atendimento ao disposto no art. 12 da LC nº 101/2000;</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III – demonstrativo da estimativa e compensação da renúncia de receita e da margem de expansão das despesas obrigatórias de caráter continuado, de acordo com o art. 5º, inciso II, da LC nº 101/2000;</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IV – demonstrativo das receitas por origem e das despesas por grupo de natureza de despesa dos orçamentos fiscal e da seguridade social, conforme art. 165, § 5º, III, da Constituição Federal;</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V - demonstrativo da receita e planos de aplicação dos Fundos Especiais, que obedecerá ao disposto no inciso I do § 2º do art. 2º da Lei Federal nº 4.320/64;</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lastRenderedPageBreak/>
        <w:t>VI – demonstrativo de compatibilidade da programação do orçamento com as metas fiscais estabelecidas na Lei de Diretrizes Orçamentárias, de acordo com o art. 5º, inciso I, da LC nº 101/2000;</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VII - demonstrativo da fixação da despesa com pessoal e encargos sociais, para os Poderes Executivo e Legislativo, confrontando a sua totalização com a receita corrente líquida prevista, nos termos dos artigos 19 e 20 da LC nº 101/2000, acompanhado da memória de cálculo;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VIII - demonstrativo da previsão das aplicações de recursos na Manutenção e Desenvolvimento do Ensino (MDE) e do Fundo de Manutenção e Desenvolvimento da Educação Básica e de Valorização dos Profissionais da Educação (FUNDEB);</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IX - demonstrativo da previsão da aplicação anual do Município em Ações e Serviços Públicos de Saúde (ASPS), conforme a Lei Complementar nº 141, de 13 de janeiro de 2012;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X - demonstrativo das categorias de programação a serem financiadas com recursos de operações de crédito realizadas e a realizar, com indicação da dotação e do orçamento a que pertencem;</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XI - demonstrativo do cálculo do limite máximo de despesa para a Câmara Municipal, conforme o artigo 29-A da Constituição Federal, de acordo com a metodologia prevista no § 2º do art. 13 desta Lei.</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Art. 9º A mensagem que encaminhar o projeto de lei orçamentária anual conterá:</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 - relato sucinto da situação econômica e financeira do Município e projeções para o exercício de 2020, com destaque, se for o caso, para o comprometimento da receita com o pagamento da dívida;</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II - resumo da política econômica e social do Governo;</w:t>
      </w:r>
    </w:p>
    <w:p w:rsidR="00165482" w:rsidRPr="00165482" w:rsidRDefault="00165482" w:rsidP="00165482">
      <w:pPr>
        <w:pStyle w:val="Normal1"/>
        <w:spacing w:before="0" w:after="0"/>
        <w:rPr>
          <w:rFonts w:ascii="Times New Roman" w:eastAsia="Arial" w:hAnsi="Times New Roman" w:cs="Times New Roman"/>
        </w:rPr>
      </w:pPr>
      <w:bookmarkStart w:id="3" w:name="_GoBack"/>
      <w:bookmarkEnd w:id="3"/>
      <w:r w:rsidRPr="00165482">
        <w:rPr>
          <w:rFonts w:ascii="Times New Roman" w:eastAsia="Arial" w:hAnsi="Times New Roman" w:cs="Times New Roman"/>
        </w:rPr>
        <w:t>III - justificativa da estimativa e da fixação, respectivamente, da receita e da despesa e dos seus principais agregados, conforme dispõe o inciso I do art. 22 da Lei Federal nº 4.320, de 1964;</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IV - memória de cálculo da receita e premissas utilizadas;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V - demonstrativo da dívida fundada, assim como da evolução do estoque da dívida pública, dos últimos três anos, a situação provável no final de 2019 e a previsão para o exercício de 2020;</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lastRenderedPageBreak/>
        <w:t>VI - relação dos precatórios a serem cumpridos em 2020 com as dotações para tal fim constantes na proposta orçamentária;</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VII – relação das ações aprovadas nas audiências públicas realizadas na forma estabelecida pelo art. 11 desta Lei, com a identificação dos respectivos projetos, atividades ou operações especiais, bem como os valores correspondentes.</w:t>
      </w:r>
    </w:p>
    <w:p w:rsidR="00165482" w:rsidRPr="00165482" w:rsidRDefault="00165482" w:rsidP="00165482">
      <w:pPr>
        <w:pStyle w:val="Normal1"/>
        <w:spacing w:before="0" w:after="0"/>
        <w:ind w:firstLine="0"/>
        <w:jc w:val="center"/>
        <w:rPr>
          <w:rFonts w:ascii="Times New Roman" w:eastAsia="Arial" w:hAnsi="Times New Roman" w:cs="Times New Roman"/>
        </w:rPr>
      </w:pPr>
    </w:p>
    <w:p w:rsidR="00165482" w:rsidRPr="00165482" w:rsidRDefault="00165482" w:rsidP="00165482">
      <w:pPr>
        <w:pStyle w:val="Normal1"/>
        <w:spacing w:before="0" w:after="0"/>
        <w:ind w:firstLine="0"/>
        <w:jc w:val="center"/>
        <w:rPr>
          <w:rFonts w:ascii="Times New Roman" w:eastAsia="Arial" w:hAnsi="Times New Roman" w:cs="Times New Roman"/>
          <w:b/>
        </w:rPr>
      </w:pPr>
      <w:bookmarkStart w:id="4" w:name="_tyjcwt" w:colFirst="0" w:colLast="0"/>
      <w:bookmarkEnd w:id="4"/>
      <w:r w:rsidRPr="00165482">
        <w:rPr>
          <w:rFonts w:ascii="Times New Roman" w:eastAsia="Arial" w:hAnsi="Times New Roman" w:cs="Times New Roman"/>
          <w:b/>
        </w:rPr>
        <w:t>Capítulo V - Das Diretrizes para Elaboração e Execução do Orçamento e suas Alterações</w:t>
      </w:r>
    </w:p>
    <w:p w:rsidR="00165482" w:rsidRDefault="00165482" w:rsidP="00165482">
      <w:pPr>
        <w:pStyle w:val="Normal1"/>
        <w:spacing w:before="0" w:after="0"/>
        <w:ind w:firstLine="0"/>
        <w:jc w:val="center"/>
        <w:rPr>
          <w:rFonts w:ascii="Times New Roman" w:eastAsia="Arial" w:hAnsi="Times New Roman" w:cs="Times New Roman"/>
          <w:b/>
        </w:rPr>
      </w:pPr>
      <w:bookmarkStart w:id="5" w:name="_3dy6vkm" w:colFirst="0" w:colLast="0"/>
      <w:bookmarkEnd w:id="5"/>
      <w:r w:rsidRPr="00165482">
        <w:rPr>
          <w:rFonts w:ascii="Times New Roman" w:eastAsia="Arial" w:hAnsi="Times New Roman" w:cs="Times New Roman"/>
          <w:b/>
        </w:rPr>
        <w:t>Seção I - Das Diretrizes Gerais</w:t>
      </w:r>
    </w:p>
    <w:p w:rsidR="00165482" w:rsidRPr="00165482" w:rsidRDefault="00165482" w:rsidP="00165482">
      <w:pPr>
        <w:pStyle w:val="Normal1"/>
        <w:spacing w:before="0" w:after="0"/>
        <w:ind w:firstLine="0"/>
        <w:jc w:val="center"/>
        <w:rPr>
          <w:rFonts w:ascii="Times New Roman" w:eastAsia="Arial" w:hAnsi="Times New Roman" w:cs="Times New Roman"/>
          <w:b/>
        </w:rPr>
      </w:pPr>
    </w:p>
    <w:p w:rsidR="00165482" w:rsidRPr="00165482" w:rsidRDefault="00165482" w:rsidP="00165482">
      <w:pPr>
        <w:pStyle w:val="Normal1"/>
        <w:spacing w:before="0" w:after="0"/>
        <w:ind w:firstLine="0"/>
        <w:rPr>
          <w:rFonts w:ascii="Times New Roman" w:eastAsia="Arial" w:hAnsi="Times New Roman" w:cs="Times New Roman"/>
        </w:rPr>
      </w:pPr>
      <w:r w:rsidRPr="00165482">
        <w:rPr>
          <w:rFonts w:ascii="Times New Roman" w:eastAsia="Arial" w:hAnsi="Times New Roman" w:cs="Times New Roman"/>
        </w:rPr>
        <w:t xml:space="preserve"> </w:t>
      </w:r>
      <w:r w:rsidRPr="00165482">
        <w:rPr>
          <w:rFonts w:ascii="Times New Roman" w:eastAsia="Arial" w:hAnsi="Times New Roman" w:cs="Times New Roman"/>
        </w:rPr>
        <w:tab/>
        <w:t xml:space="preserve">Art. 10. </w:t>
      </w:r>
      <w:proofErr w:type="gramStart"/>
      <w:r w:rsidRPr="00165482">
        <w:rPr>
          <w:rFonts w:ascii="Times New Roman" w:eastAsia="Arial" w:hAnsi="Times New Roman" w:cs="Times New Roman"/>
        </w:rPr>
        <w:t>Os orçamentos fiscal</w:t>
      </w:r>
      <w:proofErr w:type="gramEnd"/>
      <w:r w:rsidRPr="00165482">
        <w:rPr>
          <w:rFonts w:ascii="Times New Roman" w:eastAsia="Arial" w:hAnsi="Times New Roman" w:cs="Times New Roman"/>
        </w:rPr>
        <w:t xml:space="preserve"> e da seguridade social compreenderão o conjunto das receitas públicas, bem como das despesas do Poder Legislativo e do Poder Executivo, neste abrangidos seus respectivos fundos, órgãos e entidades da Administração Direta e Indireta, inclusive Fundações instituídas e mantidas pelo Poder Público, bem como as empresas e sociedades de economia mista em que o Município detenha, direta ou indiretamente, a maioria do capital social com direito a voto e que dele recebam recursos.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 Parágrafo único. Os órgãos da Administração Indireta e o Poder Legislativo encaminharão à Secretaria da Fazenda, até 01 de Outubro de 2019, suas respectivas propostas orçamentárias, para fins de consolidação do Projeto de Lei Orçamentária de 2020, observadas as disposições desta Lei.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Art. 11. A elaboração e a aprovação do Orçamento para o exercício de 2020 e a sua execução obedecerão, entre outros, ao princípio da publicidade, promovendo-se a transparência da gestão fiscal e permitindo-se o amplo acesso da sociedade a todas as informações relativas a cada uma dessas etapas.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1º Para fins de atendimento ao disposto no parágrafo único do art. 48 da LC nº 101/2000, o Poder Executivo organizará audiência(s) pública(s) a fim de assegurar aos cidadãos a participação na seleção das prioridades de investimentos, que terão recursos consignados no orçamento.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2º A Câmara Municipal organizará audiência(s) pública(s) para discussão da proposta orçamentária durante o processo de sua apreciação e aprovação.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lastRenderedPageBreak/>
        <w:t xml:space="preserve">Art. 12. Os Fundos Municipais constituirão unidade orçamentária específica, e terão suas Receitas vinculadas a Despesas relacionadas com seus objetivos, identificadas em Planos de Aplicação, representados nas Planilhas de Despesas referidas no art. 8º, § 1º, inciso V, desta Lei.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 1º A administração dos Fundos Municipais será efetivada pelo Chefe do Poder Executivo, podendo, por </w:t>
      </w:r>
      <w:proofErr w:type="gramStart"/>
      <w:r w:rsidRPr="00165482">
        <w:rPr>
          <w:rFonts w:ascii="Times New Roman" w:eastAsia="Arial" w:hAnsi="Times New Roman" w:cs="Times New Roman"/>
        </w:rPr>
        <w:t>ato formal deste, e observada</w:t>
      </w:r>
      <w:proofErr w:type="gramEnd"/>
      <w:r w:rsidRPr="00165482">
        <w:rPr>
          <w:rFonts w:ascii="Times New Roman" w:eastAsia="Arial" w:hAnsi="Times New Roman" w:cs="Times New Roman"/>
        </w:rPr>
        <w:t xml:space="preserve"> a respectiva legislação, ser delegada a Secretários, servidores municipais ou comissão de servidores.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2º A movimentação orçamentária e financeira das contas dos Fundos Municipais deverão ser demonstradas, também, em balancetes apartados das contas do Município.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Art. 13. Os estudos para definição do Orçamento da Receita deverão observar os efeitos da alteração da legislação tributária, incentivos fiscais autorizados, a inflação do período, o crescimento econômico, a ampliação da base de cálculo dos tributos, a sua evolução nos últimos três exercícios e a projeção para os dois anos seguintes ao exercício de 2020.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 1º Até 30 dias antes do encaminhamento da Proposta Orçamentária ao Poder Legislativo, o Poder Executivo Municipal colocará à disposição da Câmara Municipal os estudos e as estimativas de receitas para o exercício de 2020, inclusive da receita corrente líquida, e as respectivas memórias de cálculo.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2º Para fins de cálculo do limite das despesas do Poder Legislativo, nos termos do art. 29-A da Constituição Federal, considerar-se-á a receita arrecadada até o último mês anterior ao prazo para a entrega da proposta orçamentária, acrescida da tendência de arrecadação até o final do exercício.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Art. 14. A lei orçamentária conterá reservas de contingência, </w:t>
      </w:r>
      <w:proofErr w:type="gramStart"/>
      <w:r w:rsidRPr="00165482">
        <w:rPr>
          <w:rFonts w:ascii="Times New Roman" w:eastAsia="Arial" w:hAnsi="Times New Roman" w:cs="Times New Roman"/>
        </w:rPr>
        <w:t>desdobradas</w:t>
      </w:r>
      <w:proofErr w:type="gramEnd"/>
      <w:r w:rsidRPr="00165482">
        <w:rPr>
          <w:rFonts w:ascii="Times New Roman" w:eastAsia="Arial" w:hAnsi="Times New Roman" w:cs="Times New Roman"/>
        </w:rPr>
        <w:t xml:space="preserve"> para atender às seguintes finalidades: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 - cobertura de créditos adicionais;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II - atender passivos contingentes e outros riscos e eventos fiscais imprevistos;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 1º A reserva de contingência, de que trata o inciso II do </w:t>
      </w:r>
      <w:r w:rsidRPr="00165482">
        <w:rPr>
          <w:rFonts w:ascii="Times New Roman" w:eastAsia="Arial" w:hAnsi="Times New Roman" w:cs="Times New Roman"/>
          <w:i/>
        </w:rPr>
        <w:t>caput</w:t>
      </w:r>
      <w:r w:rsidRPr="00165482">
        <w:rPr>
          <w:rFonts w:ascii="Times New Roman" w:eastAsia="Arial" w:hAnsi="Times New Roman" w:cs="Times New Roman"/>
        </w:rPr>
        <w:t>, será fixada em, no máximo, 05 % (cinco por cento) da receita corrente líquida, e sua utilização dar-se-á mediante créditos adicionais abertos à sua conta.</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 2º Na hipótese de ficar demonstrado que a reserva de contingência constituída para atender os passivos contingentes e outros riscos e eventos fiscais imprevistos não precisará </w:t>
      </w:r>
      <w:r w:rsidRPr="00165482">
        <w:rPr>
          <w:rFonts w:ascii="Times New Roman" w:eastAsia="Arial" w:hAnsi="Times New Roman" w:cs="Times New Roman"/>
        </w:rPr>
        <w:lastRenderedPageBreak/>
        <w:t>ser utilizada para sua finalidade, no todo ou em parte, o Chefe do Executivo poderá utilizar seu saldo para dar cobertura a outros créditos adicionais, legalmente autorizados na forma dos artigos 41, 42 e 43 da Lei Federal nº 4.320/1964.</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3º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Art. 15. Observado o disposto no art. 45 da Lei Complementar nº 101, de 2000, somente serão incluídos novos projetos na Lei Orçamentária de 2020 se:</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 - tiverem sido adequada e suficientemente contempladas as despesas para conservação do patrimônio público e para os projetos em andamento, constantes desta Lei;</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II - a ação estiver compatível com o Plano Plurianual.</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Parágrafo único. O disposto neste artigo não se aplica às despesas programadas com recursos de transferências voluntárias e operações de crédito, cuja execução fica limitada à respectiva disponibilidade orçamentária e financeira.</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Art. 16. Os procedimentos administrativos de estimativa do impacto orçamentário-financeiro e declaração do ordenador da despesa de que trata o art. 16, I e II, da LC nº 101/2000, quando for o caso, deverão ser inseridos no processo que abriga os autos da licitação ou de sua dispensa/inexigibilidade.</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1º Para efeito do disposto no art. 16, § 3º, da LC nº 101/2000, serão consideradas despesas irrelevantes aquelas decorrentes da criação, expansão ou aperfeiçoamento da ação governamental que acarrete aumento da despesa, cujo montante no exercício financeiro, em cada evento, não exceda aos valores limites para dispensa de licitação fixados nos incisos I e II do art. 24 da Lei nº 8.666/93, conforme o caso.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2º No caso de despesas com pessoal, desde que não configurem geração de despesa obrigatória de caráter continuado, serão consideradas irrelevantes aquelas cujo montante, no exercício, em cada evento, não exceda a 10 (dez) vezes o menor padrão de vencimentos.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Art. 17. A compensação de que trata o art. 17, § 2º, da LC n° 101/2000, quando da criação ou aumento de Despesas Obrigatórias de Caráter Continuado, poderá ser realizada a partir do aproveitamento da margem líquida de expansão prevista no inciso V do § 2º do art. 4º, da referida Lei, desde que observados: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lastRenderedPageBreak/>
        <w:t>I – o limite das respectivas dotações constantes da Lei Orçamentária de 2020 e de créditos adicionais;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II – os limites estabelecidos nos </w:t>
      </w:r>
      <w:proofErr w:type="spellStart"/>
      <w:r w:rsidRPr="00165482">
        <w:rPr>
          <w:rFonts w:ascii="Times New Roman" w:eastAsia="Arial" w:hAnsi="Times New Roman" w:cs="Times New Roman"/>
        </w:rPr>
        <w:t>arts</w:t>
      </w:r>
      <w:proofErr w:type="spellEnd"/>
      <w:r w:rsidRPr="00165482">
        <w:rPr>
          <w:rFonts w:ascii="Times New Roman" w:eastAsia="Arial" w:hAnsi="Times New Roman" w:cs="Times New Roman"/>
        </w:rPr>
        <w:t xml:space="preserve">. 20, inciso III, e 22, parágrafo único, da LC nº 101/2000, no caso das despesas com </w:t>
      </w:r>
      <w:proofErr w:type="gramStart"/>
      <w:r w:rsidRPr="00165482">
        <w:rPr>
          <w:rFonts w:ascii="Times New Roman" w:eastAsia="Arial" w:hAnsi="Times New Roman" w:cs="Times New Roman"/>
        </w:rPr>
        <w:t>pessoal e respectivos encargos</w:t>
      </w:r>
      <w:proofErr w:type="gramEnd"/>
      <w:r w:rsidRPr="00165482">
        <w:rPr>
          <w:rFonts w:ascii="Times New Roman" w:eastAsia="Arial" w:hAnsi="Times New Roman" w:cs="Times New Roman"/>
        </w:rPr>
        <w:t>; e</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III – o valor da margem líquida de expansão constante no demonstrativo de que trata o art. 2º, VIII, desta Lei.</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Art. 18. Enquanto o Município não dispuser de um Sistema de Informação de Custos na forma estabelecida pela Norma Brasileira de Contabilidade – NBC T 16.11, aprovada pela Resolução nº 1.366, de 25 de novembro de 2011, do Conselho Federal de Contabilidade, o controle de custos das ações desenvolvidas pelo Poder Público Municipal de que trata o art. 50, § 3º, da LC nº 101/2000, deverá, no mínimo, evidenciar, em relatórios complementares os gastos das obras e dos serviços públicos, tais como: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 - dos programas e das ações previsto no Plano Plurianual;</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II - do m² das construções e do m² das pavimentações;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III - do custo aluno/ano da educação infantil e do ensino fundamental, do custo aluno/ano do transporte escolar e do custo aluno/ano com merenda escolar;</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IV - do custo da destinação final do lixo urbano, incluído a coleta/habitante do núcleo</w:t>
      </w:r>
      <w:proofErr w:type="gramStart"/>
      <w:r w:rsidRPr="00165482">
        <w:rPr>
          <w:rFonts w:ascii="Times New Roman" w:eastAsia="Arial" w:hAnsi="Times New Roman" w:cs="Times New Roman"/>
        </w:rPr>
        <w:t xml:space="preserve">  </w:t>
      </w:r>
      <w:proofErr w:type="gramEnd"/>
      <w:r w:rsidRPr="00165482">
        <w:rPr>
          <w:rFonts w:ascii="Times New Roman" w:eastAsia="Arial" w:hAnsi="Times New Roman" w:cs="Times New Roman"/>
        </w:rPr>
        <w:t>urbano conforme censo do IBGE;</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V - do custo do atendimento nas unidades de saúde, entre outros.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 1º O controle de custos de que trata o </w:t>
      </w:r>
      <w:r w:rsidRPr="00165482">
        <w:rPr>
          <w:rFonts w:ascii="Times New Roman" w:eastAsia="Arial" w:hAnsi="Times New Roman" w:cs="Times New Roman"/>
          <w:i/>
        </w:rPr>
        <w:t>caput</w:t>
      </w:r>
      <w:r w:rsidRPr="00165482">
        <w:rPr>
          <w:rFonts w:ascii="Times New Roman" w:eastAsia="Arial" w:hAnsi="Times New Roman" w:cs="Times New Roman"/>
        </w:rPr>
        <w:t xml:space="preserve"> será orientado para o estabelecimento da relação entre a despesa pública e o resultado obtido, de forma a priorizar a análise da eficiência na alocação dos recursos, permitindo o acompanhamento das gestões orçamentária, financeira e patrimonial.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2º Os custos serão apurados e avaliados através das operações orçamentárias, tomando-se por base, a comparação entre as despesas autorizadas e liquidadas, bem como a comparação entre as metas físicas previstas e as realizadas.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 3º Os relatórios referidos no </w:t>
      </w:r>
      <w:r w:rsidRPr="00165482">
        <w:rPr>
          <w:rFonts w:ascii="Times New Roman" w:eastAsia="Arial" w:hAnsi="Times New Roman" w:cs="Times New Roman"/>
          <w:i/>
        </w:rPr>
        <w:t>caput</w:t>
      </w:r>
      <w:r w:rsidRPr="00165482">
        <w:rPr>
          <w:rFonts w:ascii="Times New Roman" w:eastAsia="Arial" w:hAnsi="Times New Roman" w:cs="Times New Roman"/>
        </w:rPr>
        <w:t xml:space="preserve"> deverão ser disponibilizados em meio eletrônico de acesso ao público, em até 30 dias contados da data de sua emissão.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Art. 19. As metas fiscais estabelecidas no demonstrativo de que trata o inciso I do art. 2º serão desdobradas em metas quadrimestrais para fins de avaliação em audiência pública na Câmara Municipal até o final dos meses de maio, setembro e fevereiro, de modo a </w:t>
      </w:r>
      <w:r w:rsidRPr="00165482">
        <w:rPr>
          <w:rFonts w:ascii="Times New Roman" w:eastAsia="Arial" w:hAnsi="Times New Roman" w:cs="Times New Roman"/>
        </w:rPr>
        <w:lastRenderedPageBreak/>
        <w:t>acompanhar o cumprimento dos seus objetivos, corrigir desvios, avaliar os gastos e também o cumprimento das metas físicas estabelecidas.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 1º Para fins de realização da audiência pública prevista </w:t>
      </w:r>
      <w:r w:rsidRPr="00165482">
        <w:rPr>
          <w:rFonts w:ascii="Times New Roman" w:eastAsia="Arial" w:hAnsi="Times New Roman" w:cs="Times New Roman"/>
          <w:i/>
        </w:rPr>
        <w:t>caput</w:t>
      </w:r>
      <w:r w:rsidRPr="00165482">
        <w:rPr>
          <w:rFonts w:ascii="Times New Roman" w:eastAsia="Arial" w:hAnsi="Times New Roman" w:cs="Times New Roman"/>
        </w:rPr>
        <w:t>, e em conformidade com o art. 9º, § 4º, da LC nº 101/2000, o Poder Executivo encaminhará ao Poder Legislativo, até 05 (cinco) dias antes da audiência, relatório de avaliação do cumprimento das metas fiscais, com as justificativas de eventuais desvios e indicação das medidas corretivas adotadas.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 2º Compete ao Poder Legislativo Municipal, mediante prévio agendamento com o Poder Executivo, convocar e coordenar a realização das audiências públicas referidas no </w:t>
      </w:r>
      <w:r w:rsidRPr="00165482">
        <w:rPr>
          <w:rFonts w:ascii="Times New Roman" w:eastAsia="Arial" w:hAnsi="Times New Roman" w:cs="Times New Roman"/>
          <w:i/>
        </w:rPr>
        <w:t>caput</w:t>
      </w:r>
      <w:r w:rsidRPr="00165482">
        <w:rPr>
          <w:rFonts w:ascii="Times New Roman" w:eastAsia="Arial" w:hAnsi="Times New Roman" w:cs="Times New Roman"/>
        </w:rPr>
        <w:t>.</w:t>
      </w:r>
    </w:p>
    <w:p w:rsidR="00165482" w:rsidRPr="00165482" w:rsidRDefault="00165482" w:rsidP="00165482">
      <w:pPr>
        <w:pStyle w:val="Normal1"/>
        <w:spacing w:before="0" w:after="0"/>
        <w:rPr>
          <w:rFonts w:ascii="Times New Roman" w:eastAsia="Arial" w:hAnsi="Times New Roman" w:cs="Times New Roman"/>
        </w:rPr>
      </w:pPr>
    </w:p>
    <w:p w:rsidR="00165482" w:rsidRDefault="00165482" w:rsidP="00165482">
      <w:pPr>
        <w:pStyle w:val="Normal1"/>
        <w:spacing w:before="0" w:after="0"/>
        <w:ind w:firstLine="0"/>
        <w:jc w:val="center"/>
        <w:rPr>
          <w:rFonts w:ascii="Times New Roman" w:eastAsia="Arial" w:hAnsi="Times New Roman" w:cs="Times New Roman"/>
          <w:b/>
        </w:rPr>
      </w:pPr>
      <w:bookmarkStart w:id="6" w:name="_1t3h5sf" w:colFirst="0" w:colLast="0"/>
      <w:bookmarkEnd w:id="6"/>
      <w:r w:rsidRPr="00165482">
        <w:rPr>
          <w:rFonts w:ascii="Times New Roman" w:eastAsia="Arial" w:hAnsi="Times New Roman" w:cs="Times New Roman"/>
          <w:b/>
        </w:rPr>
        <w:t>Seção II - Das Diretrizes Específicas do Orçamento da Seguridade Social</w:t>
      </w:r>
    </w:p>
    <w:p w:rsidR="00165482" w:rsidRPr="00165482" w:rsidRDefault="00165482" w:rsidP="00165482">
      <w:pPr>
        <w:pStyle w:val="Normal1"/>
        <w:spacing w:before="0" w:after="0"/>
        <w:ind w:firstLine="0"/>
        <w:jc w:val="center"/>
        <w:rPr>
          <w:rFonts w:ascii="Times New Roman" w:eastAsia="Arial" w:hAnsi="Times New Roman" w:cs="Times New Roman"/>
          <w:b/>
        </w:rPr>
      </w:pP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Art. 20. O Orçamento da Seguridade Social compreenderá as dotações destinadas a atender às ações de saúde, previdência e assistência social, e contará, entre outros, com recursos provenientes: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 – do produto da arrecadação de impostos e transferências constitucionais vinculados às ações e serviços públicos de saúde, nos termos da Lei Complementar nº 141, de 13 de janeiro de 2012;</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II – das contribuições para o Regime Próprio de Previdência Social dos Servidores Municipais, que será utilizada para despesas com encargos previdenciários do Município;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III – do Orçamento Fiscal;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IV – das demais receitas cujas despesas integram, exclusivamente, o orçamento referido no </w:t>
      </w:r>
      <w:r w:rsidRPr="00165482">
        <w:rPr>
          <w:rFonts w:ascii="Times New Roman" w:eastAsia="Arial" w:hAnsi="Times New Roman" w:cs="Times New Roman"/>
          <w:i/>
        </w:rPr>
        <w:t>caput</w:t>
      </w:r>
      <w:r w:rsidRPr="00165482">
        <w:rPr>
          <w:rFonts w:ascii="Times New Roman" w:eastAsia="Arial" w:hAnsi="Times New Roman" w:cs="Times New Roman"/>
        </w:rPr>
        <w:t xml:space="preserve"> deste artigo.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1º As receitas de que trata os incisos I, II e IV deste artigo deverão ser classificadas como receitas da seguridade social;</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2º O orçamento da seguridade social será evidenciado na forma do demonstrativo previsto no art. 8º, § 1º, inciso IV, desta Lei.</w:t>
      </w:r>
    </w:p>
    <w:p w:rsidR="00165482" w:rsidRDefault="00165482" w:rsidP="00165482">
      <w:pPr>
        <w:pStyle w:val="Normal1"/>
        <w:spacing w:before="0" w:after="0"/>
        <w:rPr>
          <w:rFonts w:ascii="Times New Roman" w:eastAsia="Arial" w:hAnsi="Times New Roman" w:cs="Times New Roman"/>
        </w:rPr>
      </w:pPr>
    </w:p>
    <w:p w:rsidR="00165482" w:rsidRPr="00165482" w:rsidRDefault="00165482" w:rsidP="00165482">
      <w:pPr>
        <w:pStyle w:val="Normal1"/>
        <w:spacing w:before="0" w:after="0"/>
        <w:rPr>
          <w:rFonts w:ascii="Times New Roman" w:eastAsia="Arial" w:hAnsi="Times New Roman" w:cs="Times New Roman"/>
        </w:rPr>
      </w:pPr>
    </w:p>
    <w:p w:rsidR="00165482" w:rsidRDefault="00165482" w:rsidP="00165482">
      <w:pPr>
        <w:pStyle w:val="Normal1"/>
        <w:spacing w:before="0" w:after="0"/>
        <w:jc w:val="center"/>
        <w:rPr>
          <w:rFonts w:ascii="Times New Roman" w:eastAsia="Arial" w:hAnsi="Times New Roman" w:cs="Times New Roman"/>
          <w:b/>
        </w:rPr>
      </w:pPr>
      <w:bookmarkStart w:id="7" w:name="_4d34og8" w:colFirst="0" w:colLast="0"/>
      <w:bookmarkEnd w:id="7"/>
      <w:r w:rsidRPr="00165482">
        <w:rPr>
          <w:rFonts w:ascii="Times New Roman" w:eastAsia="Arial" w:hAnsi="Times New Roman" w:cs="Times New Roman"/>
          <w:b/>
        </w:rPr>
        <w:lastRenderedPageBreak/>
        <w:t>Seção III - Das Disposições sobre a Programação e Execução Orçamentária e Financeira</w:t>
      </w:r>
    </w:p>
    <w:p w:rsidR="00165482" w:rsidRPr="00165482" w:rsidRDefault="00165482" w:rsidP="00165482">
      <w:pPr>
        <w:pStyle w:val="Normal1"/>
        <w:spacing w:before="0" w:after="0"/>
        <w:jc w:val="center"/>
        <w:rPr>
          <w:rFonts w:ascii="Times New Roman" w:eastAsia="Arial" w:hAnsi="Times New Roman" w:cs="Times New Roman"/>
          <w:b/>
        </w:rPr>
      </w:pP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Art. 21.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 1º O ato referido no </w:t>
      </w:r>
      <w:r w:rsidRPr="00165482">
        <w:rPr>
          <w:rFonts w:ascii="Times New Roman" w:eastAsia="Arial" w:hAnsi="Times New Roman" w:cs="Times New Roman"/>
          <w:i/>
        </w:rPr>
        <w:t>caput</w:t>
      </w:r>
      <w:r w:rsidRPr="00165482">
        <w:rPr>
          <w:rFonts w:ascii="Times New Roman" w:eastAsia="Arial" w:hAnsi="Times New Roman" w:cs="Times New Roman"/>
        </w:rPr>
        <w:t xml:space="preserve"> deste artigo e os que o modificarem conterá:</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 - metas quadrimestrais para o resultado primário, que servirão de parâmetro para a avaliação de que trata o art. 9º, § 4º da LC nº 101/2000;</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II - metas bimestrais de realização de receitas primárias, em atendimento ao disposto no art. 13 da LC nº 101/2000, discriminadas, no mínimo, por origem, identificando-se separadamente, quando cabível, as medidas de combate à evasão e à sonegação fiscal e da cobrança da dívida ativa;</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III - cronograma de desembolso mensal de despesas, por órgão e unidade orçamentária.</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 2º Excetuadas as despesas com pessoal e encargos sociais, precatórios e sentenças judiciais, o cronograma de desembolso do Poder Legislativo terá, como referencial, o repasse previsto no art. 168 da Constituição Federal, na forma de duodécimos.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Art. 22. Na execução do orçamento, verificado que o comportamento da receita ordinária poderá afetar o cumprimento das metas de resultados primário e nominal, e observado o disposto no § 2º do art. 2º desta Lei, os Poderes Executivo e Legislativo, de forma proporcional às suas dotações, adotarão o mecanismo da limitação de empenhos e movimentação financeira nos montantes necessários, observadas as respectivas fontes de recursos, nas seguintes despesas: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 – Contrapartida para projetos ou atividades vinculados a recursos oriundos de fontes extraordinárias, como transferências voluntárias, operações de crédito, alienação de ativos, desde que ainda não comprometidos;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II – Obras em geral, desde que ainda não iniciadas;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lastRenderedPageBreak/>
        <w:t>III – Dotação para combustíveis destinada à frota de veículos dos setores de transportes, obras, serviços públicos e agricultura;</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IV – Dotação para material de consumo e outros serviços de terceiros das diversas atividades;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V – Diárias de viagem;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VI – Horas extras.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 1º Na avaliação do cumprimento das metas bimestrais de arrecadação para </w:t>
      </w:r>
      <w:proofErr w:type="gramStart"/>
      <w:r w:rsidRPr="00165482">
        <w:rPr>
          <w:rFonts w:ascii="Times New Roman" w:eastAsia="Arial" w:hAnsi="Times New Roman" w:cs="Times New Roman"/>
        </w:rPr>
        <w:t>implementação</w:t>
      </w:r>
      <w:proofErr w:type="gramEnd"/>
      <w:r w:rsidRPr="00165482">
        <w:rPr>
          <w:rFonts w:ascii="Times New Roman" w:eastAsia="Arial" w:hAnsi="Times New Roman" w:cs="Times New Roman"/>
        </w:rPr>
        <w:t xml:space="preserve"> ou não do mecanismo da limitação de empenho e movimentação financeira, será considerado ainda o resultado financeiro apurado no Balanço Patrimonial do exercício de 2019, observada a vinculação de recursos.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2º Não serão objeto de limitação de empenho: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 - despesas relacionadas com vinculações constitucionais e legais, nos termos do § 2º do art. 9º da LC nº 101/2000 e do art. 28 da Lei Complementar Federal n.º 141, de 13 de janeiro de 2012;</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II - as despesas com o pagamento de precatórios e sentenças judiciais de pequeno valor;</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III - as despesas fixas e obrigatórias com pessoal e encargos sociais; </w:t>
      </w:r>
      <w:proofErr w:type="gramStart"/>
      <w:r w:rsidRPr="00165482">
        <w:rPr>
          <w:rFonts w:ascii="Times New Roman" w:eastAsia="Arial" w:hAnsi="Times New Roman" w:cs="Times New Roman"/>
        </w:rPr>
        <w:t>e</w:t>
      </w:r>
      <w:proofErr w:type="gramEnd"/>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IV - as despesas financiadas com recursos de Transferências Voluntárias da União e do Estado, Operações de Crédito e Alienação de bens, observado o disposto no art. 24 desta Lei.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 3º Na hipótese de ocorrência do disposto no </w:t>
      </w:r>
      <w:r w:rsidRPr="00165482">
        <w:rPr>
          <w:rFonts w:ascii="Times New Roman" w:eastAsia="Arial" w:hAnsi="Times New Roman" w:cs="Times New Roman"/>
          <w:i/>
        </w:rPr>
        <w:t>caput</w:t>
      </w:r>
      <w:r w:rsidRPr="00165482">
        <w:rPr>
          <w:rFonts w:ascii="Times New Roman" w:eastAsia="Arial" w:hAnsi="Times New Roman" w:cs="Times New Roman"/>
        </w:rPr>
        <w:t xml:space="preserve"> deste artigo, o Poder Executivo comunicará à Câmara Municipal o montante que lhe caberá tornar indisponível para empenho e movimentação financeira.</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4º Os Chefes do Poder Executivo e do Poder Legislativo deverão divulgar, em ato próprio, os ajustes processados, que será discriminado, no mínimo, por unidade orçamentária.</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5º Ocorrendo o restabelecimento da receita prevista, a recomposição se fará obedecendo ao disposto no art. 9º, § 1º, da LC nº 101/2000.</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6º Na ocorrência de calamidade pública, reconhecida na forma da lei, serão dispensadas a obtenção dos resultados fiscais programados e a limitação de empenho enquanto perdurar essa situação, nos termos do art. 65 da LC nº 101/2000.</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lastRenderedPageBreak/>
        <w:t xml:space="preserve">Art. 23. O repasse financeiro da cota destinada ao atendimento das despesas do Poder Legislativo, obedecida </w:t>
      </w:r>
      <w:proofErr w:type="gramStart"/>
      <w:r w:rsidRPr="00165482">
        <w:rPr>
          <w:rFonts w:ascii="Times New Roman" w:eastAsia="Arial" w:hAnsi="Times New Roman" w:cs="Times New Roman"/>
        </w:rPr>
        <w:t>a</w:t>
      </w:r>
      <w:proofErr w:type="gramEnd"/>
      <w:r w:rsidRPr="00165482">
        <w:rPr>
          <w:rFonts w:ascii="Times New Roman" w:eastAsia="Arial" w:hAnsi="Times New Roman" w:cs="Times New Roman"/>
        </w:rPr>
        <w:t xml:space="preserve"> programação financeira, será repassado até o dia 20 de cada mês, mediante depósito em conta bancária específica, indicada pela Mesa Diretora da Câmara Municipal.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 1º Os rendimentos das aplicações financeiras e outros ingressos orçamentários que venham a ser arrecadadas através do Poder Legislativo, serão contabilizados como receita pelo Poder Executivo, tendo como contrapartida o repasse referido no </w:t>
      </w:r>
      <w:r w:rsidRPr="00165482">
        <w:rPr>
          <w:rFonts w:ascii="Times New Roman" w:eastAsia="Arial" w:hAnsi="Times New Roman" w:cs="Times New Roman"/>
          <w:i/>
        </w:rPr>
        <w:t>caput</w:t>
      </w:r>
      <w:r w:rsidRPr="00165482">
        <w:rPr>
          <w:rFonts w:ascii="Times New Roman" w:eastAsia="Arial" w:hAnsi="Times New Roman" w:cs="Times New Roman"/>
        </w:rPr>
        <w:t xml:space="preserve"> deste artigo.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2º Ao final do exercício financeiro de 2020, o saldo de recursos financeiros porventura existentes na Câmara, será devolvido ao Poder Executivo, livre de quaisquer vinculações, deduzidos os valores correspondentes ao saldo das obrigações a pagar, nelas incluídos os restos a pagar do Poder Legislativo;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3º O eventual saldo de recursos financeiros que não for devolvido no prazo estabelecido no parágrafo anterior, será devidamente registrado na contabilidade e considerado como antecipação de repasse do exercício financeiro de 2021;</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Art. 24. Os projetos, atividades e operações especiais previstos na Lei Orçamentária, ou em seus créditos adicionais, que dependam de recursos oriundos de transferências voluntárias, operações de crédito, alienação de bens e outros recursos vinculados, só serão movimentados, se ocorrer ou estiver garantido o seu ingresso no fluxo de caixa, respeitado, ainda, o montante ingressado ou garantido.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 1º Para fins disposto no </w:t>
      </w:r>
      <w:r w:rsidRPr="00165482">
        <w:rPr>
          <w:rFonts w:ascii="Times New Roman" w:eastAsia="Arial" w:hAnsi="Times New Roman" w:cs="Times New Roman"/>
          <w:i/>
        </w:rPr>
        <w:t>caput</w:t>
      </w:r>
      <w:r w:rsidRPr="00165482">
        <w:rPr>
          <w:rFonts w:ascii="Times New Roman" w:eastAsia="Arial" w:hAnsi="Times New Roman" w:cs="Times New Roman"/>
        </w:rPr>
        <w:t>, no caso dos recursos de transferências voluntárias e de operações de crédito, considerar-se-á garantido o ingresso no fluxo de caixa, a partir da assinatura do respectivo convênio, contrato ou instrumento congênere, bem como na assinatura dos correspondentes aditamentos de valor, não se confundindo com as liberações financeiras de recursos, que devem obedecer ao cronograma de desembolso previsto nos respectivos instrumentos.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 2º A execução das Receitas e das Despesas identificará com codificação adequada cada uma das fontes de recursos, de forma a permitir o adequado controle da execução dos recursos mencionados no </w:t>
      </w:r>
      <w:r w:rsidRPr="00165482">
        <w:rPr>
          <w:rFonts w:ascii="Times New Roman" w:eastAsia="Arial" w:hAnsi="Times New Roman" w:cs="Times New Roman"/>
          <w:i/>
        </w:rPr>
        <w:t>caput</w:t>
      </w:r>
      <w:r w:rsidRPr="00165482">
        <w:rPr>
          <w:rFonts w:ascii="Times New Roman" w:eastAsia="Arial" w:hAnsi="Times New Roman" w:cs="Times New Roman"/>
        </w:rPr>
        <w:t xml:space="preserve"> deste artigo.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Art. 25. A despesa não poderá ser realizada se não houver comprovada e suficiente disponibilidade de dotação orçamentária para atendê-la, sendo vedada a adoção de qualquer procedimento que viabilize a sua realização sem observar a referida disponibilidade.</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lastRenderedPageBreak/>
        <w:t xml:space="preserve">§ 1º A contabilidade registrará todos os atos e os fatos relativos à gestão orçamentário-financeira, independentemente de sua legalidade, sem prejuízo das responsabilidades e demais consequências advindas da inobservância do disposto no </w:t>
      </w:r>
      <w:r w:rsidRPr="00165482">
        <w:rPr>
          <w:rFonts w:ascii="Times New Roman" w:eastAsia="Arial" w:hAnsi="Times New Roman" w:cs="Times New Roman"/>
          <w:i/>
        </w:rPr>
        <w:t>caput</w:t>
      </w:r>
      <w:r w:rsidRPr="00165482">
        <w:rPr>
          <w:rFonts w:ascii="Times New Roman" w:eastAsia="Arial" w:hAnsi="Times New Roman" w:cs="Times New Roman"/>
        </w:rPr>
        <w:t xml:space="preserve"> deste artigo.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2º A realização de atos de gestão orçamentária, financeira e patrimonial, após 31 de dezembro de 2020, relativos ao exercício findo, não será permitida, exceto ajustes para fins de elaboração das demonstrações contábeis, os quais deverão ocorrer até o trigésimo dia de seu encerramento.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Art. 26. Para efeito do disposto no § 1º do art. 1º e do art. 42 da LC nº 101/2000, considera-se contraída a obrigação, e exigível o empenho da despesa correspondente, no momento da formalização do contrato administrativo ou instrumento congênere.</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Parágrafo único. No caso de despesas relativas </w:t>
      </w:r>
      <w:proofErr w:type="gramStart"/>
      <w:r w:rsidRPr="00165482">
        <w:rPr>
          <w:rFonts w:ascii="Times New Roman" w:eastAsia="Arial" w:hAnsi="Times New Roman" w:cs="Times New Roman"/>
        </w:rPr>
        <w:t>à</w:t>
      </w:r>
      <w:proofErr w:type="gramEnd"/>
      <w:r w:rsidRPr="00165482">
        <w:rPr>
          <w:rFonts w:ascii="Times New Roman" w:eastAsia="Arial" w:hAnsi="Times New Roman" w:cs="Times New Roman"/>
        </w:rPr>
        <w:t xml:space="preserve"> obras e prestação de serviços, consideram-se compromissadas apenas as prestações cujos pagamentos devam ser realizados no exercício financeiro, observado o cronograma pactuado.</w:t>
      </w:r>
    </w:p>
    <w:p w:rsidR="00165482" w:rsidRPr="00165482" w:rsidRDefault="00165482" w:rsidP="00165482">
      <w:pPr>
        <w:pStyle w:val="Normal1"/>
        <w:spacing w:before="0" w:after="0"/>
        <w:rPr>
          <w:rFonts w:ascii="Times New Roman" w:eastAsia="Arial" w:hAnsi="Times New Roman" w:cs="Times New Roman"/>
        </w:rPr>
      </w:pPr>
    </w:p>
    <w:p w:rsidR="00165482" w:rsidRDefault="00165482" w:rsidP="00165482">
      <w:pPr>
        <w:pStyle w:val="Normal1"/>
        <w:spacing w:before="0" w:after="0"/>
        <w:jc w:val="center"/>
        <w:rPr>
          <w:rFonts w:ascii="Times New Roman" w:eastAsia="Arial" w:hAnsi="Times New Roman" w:cs="Times New Roman"/>
          <w:b/>
        </w:rPr>
      </w:pPr>
      <w:bookmarkStart w:id="8" w:name="_2s8eyo1" w:colFirst="0" w:colLast="0"/>
      <w:bookmarkEnd w:id="8"/>
      <w:r w:rsidRPr="00165482">
        <w:rPr>
          <w:rFonts w:ascii="Times New Roman" w:eastAsia="Arial" w:hAnsi="Times New Roman" w:cs="Times New Roman"/>
          <w:b/>
        </w:rPr>
        <w:t>Seção IV - Das Diretrizes sobre Alterações da Lei Orçamentária</w:t>
      </w:r>
    </w:p>
    <w:p w:rsidR="00165482" w:rsidRPr="00165482" w:rsidRDefault="00165482" w:rsidP="00165482">
      <w:pPr>
        <w:pStyle w:val="Normal1"/>
        <w:spacing w:before="0" w:after="0"/>
        <w:jc w:val="center"/>
        <w:rPr>
          <w:rFonts w:ascii="Times New Roman" w:eastAsia="Arial" w:hAnsi="Times New Roman" w:cs="Times New Roman"/>
          <w:b/>
        </w:rPr>
      </w:pP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Art. 27. A abertura de créditos suplementares e especiais dependerá da existência de recursos disponíveis para a despesa, nos termos da Lei Federal nº 4.320/64.</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1º A apuração do excesso de arrecadação de que trata o art. 43, § 3º, da Lei Federal nº 4.320/64, será realizada por fonte de recursos para fins de abertura de créditos adicionais, conforme exigência contida no art. 8º, parágrafo único, da LC nº 101/2000.</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2º Acompanharão os projetos de lei relativos a créditos suplementares e especiais exposições de motivos circunstanciadas que os justifiquem e indiquem, quando for o caso, as consequências dos cancelamentos de dotações propostos sobre a execução das atividades, projetos, operações especiais, e respectivas metas.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3º Os recursos alocados na Lei Orçamentária de 2020 para pagamento de precatórios somente poderão ser cancelados para a abertura de créditos suplementares ou especiais para finalidades diversas mediante autorização legislativa específica.</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 4º Nos casos de créditos à conta de recursos de excesso de arrecadação ou à conta de receitas não previstas no orçamento, as exposições de motivos conterão a atualização das estimativas de receitas para o exercício, comparando-as com as estimativas constantes na Lei </w:t>
      </w:r>
      <w:r w:rsidRPr="00165482">
        <w:rPr>
          <w:rFonts w:ascii="Times New Roman" w:eastAsia="Arial" w:hAnsi="Times New Roman" w:cs="Times New Roman"/>
        </w:rPr>
        <w:lastRenderedPageBreak/>
        <w:t>Orçamentária, a identificação das parcelas já utilizadas em créditos adicionais, abertos ou cujos projetos se encontrem em tramitação.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5º Nos casos de abertura de créditos adicionais à conta de superávit financeiro, as exposições de motivos conterão informações relativas a:</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 - superávit financeiro do exercício de 2019, por fonte de recursos;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II - créditos especiais e extraordinários reabertos no exercício de 2020;</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III - valores já utilizados em créditos adicionais, abertos ou em tramitação;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IV - saldo atualizado do superávit financeiro, por fonte de recursos.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6º Considera-se superávit financeiro do exercício anterior, para fins do § 2º do art. 43 da Lei Federal nº 4.320/64, os recursos que forem disponibilizados a partir do cancelamento de restos a pagar durante o exercício de 2019, obedecida a fonte de recursos correspondente.</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 7º Os projetos de lei relativos a créditos suplementares ou especiais solicitados pelo Poder Legislativo, com indicação de recursos de redução de dotações </w:t>
      </w:r>
      <w:proofErr w:type="gramStart"/>
      <w:r w:rsidRPr="00165482">
        <w:rPr>
          <w:rFonts w:ascii="Times New Roman" w:eastAsia="Arial" w:hAnsi="Times New Roman" w:cs="Times New Roman"/>
        </w:rPr>
        <w:t>do próprio poder</w:t>
      </w:r>
      <w:proofErr w:type="gramEnd"/>
      <w:r w:rsidRPr="00165482">
        <w:rPr>
          <w:rFonts w:ascii="Times New Roman" w:eastAsia="Arial" w:hAnsi="Times New Roman" w:cs="Times New Roman"/>
        </w:rPr>
        <w:t>, serão encaminhados à Câmara Municipal no prazo de até 10 (dez) dias, a contar do recebimento da solicitação.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8º As solicitações de que trata o §7º serão acompanhadas da exposição de motivos de que trata o § 2º deste artigo.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9º O Poder Executivo poderá realizar suplementações e/ou transposição de dotações, durante o Exercício de 2020, até o percentual de 30% (trinta por cento) da respectiva despesa fixada.</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10</w:t>
      </w:r>
      <w:proofErr w:type="gramStart"/>
      <w:r w:rsidRPr="00165482">
        <w:rPr>
          <w:rFonts w:ascii="Times New Roman" w:eastAsia="Arial" w:hAnsi="Times New Roman" w:cs="Times New Roman"/>
        </w:rPr>
        <w:t xml:space="preserve">  </w:t>
      </w:r>
      <w:proofErr w:type="gramEnd"/>
      <w:r w:rsidRPr="00165482">
        <w:rPr>
          <w:rFonts w:ascii="Times New Roman" w:eastAsia="Arial" w:hAnsi="Times New Roman" w:cs="Times New Roman"/>
        </w:rPr>
        <w:t>Não são computados no limite do parágrafo anteriores os créditos suplementares decorrentes de Emendas Orçamentária da União e Convênios de repasses a fundo perdido.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Art. 28. No âmbito do Poder Legislativo, a abertura de créditos suplementares autorizados na Lei Orçamentária de 2020, com indicação de recursos compensatórios do próprio órgão, nos termos do art. 43, § 1º, inciso III, da Lei Federal nº 4.320/1964, proceder-se-á por ato do Presidente da Câmara dos Vereadores.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Art. 29. A reabertura dos créditos especiais e extraordinários, conforme disposto no art. 167, § 2º, da Constituição Federal, será efetivada, quando necessária, até 31 de</w:t>
      </w:r>
      <w:proofErr w:type="gramStart"/>
      <w:r w:rsidRPr="00165482">
        <w:rPr>
          <w:rFonts w:ascii="Times New Roman" w:eastAsia="Arial" w:hAnsi="Times New Roman" w:cs="Times New Roman"/>
        </w:rPr>
        <w:t xml:space="preserve">  </w:t>
      </w:r>
      <w:proofErr w:type="gramEnd"/>
      <w:r w:rsidRPr="00165482">
        <w:rPr>
          <w:rFonts w:ascii="Times New Roman" w:eastAsia="Arial" w:hAnsi="Times New Roman" w:cs="Times New Roman"/>
        </w:rPr>
        <w:t>maio de 2020.</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Art. 30. O Poder Executivo poderá, mediante Decreto, transpor, remanejar, transferir ou utilizar, total ou parcialmente, as dotações orçamentárias aprovadas na Lei Orçamentária </w:t>
      </w:r>
      <w:r w:rsidRPr="00165482">
        <w:rPr>
          <w:rFonts w:ascii="Times New Roman" w:eastAsia="Arial" w:hAnsi="Times New Roman" w:cs="Times New Roman"/>
        </w:rPr>
        <w:lastRenderedPageBreak/>
        <w:t>de 2020 e em créditos adicionais, em decorrência da extinção, transformação, transferência, incorporação ou desmembramento de órgãos e entidades, bem como de alterações de suas competências ou atribuições, mantida a estrutura programática, expressa por categoria de programação, conforme definida no art. 6º desta Lei.</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Parágrafo único. A transposição, transferência ou remanejamento não poderá resultar em alteração dos valores das programações aprovadas na Lei Orçamentária ou em créditos adicionais, podendo haver, excepcionalmente, ajuste na classificação funcional.</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Art. 31. As fontes de recursos e as modalidades de aplicação da despesa, aprovadas na lei orçamentária, e em seus créditos adicionais, poderão ser modificadas, justificadamente, para atender às necessidades de execução, por meio de decreto do Poder Executivo, desde que verificada a inviabilidade técnica, operacional ou econômica da execução do crédito, através da fonte de recursos e/ou modalidade prevista na lei orçamentária e em seus créditos adicionais.</w:t>
      </w:r>
    </w:p>
    <w:p w:rsidR="00165482" w:rsidRPr="00165482" w:rsidRDefault="00165482" w:rsidP="00165482">
      <w:pPr>
        <w:pStyle w:val="Normal1"/>
        <w:spacing w:before="0" w:after="0"/>
        <w:rPr>
          <w:rFonts w:ascii="Times New Roman" w:eastAsia="Arial" w:hAnsi="Times New Roman" w:cs="Times New Roman"/>
        </w:rPr>
      </w:pPr>
    </w:p>
    <w:p w:rsidR="00165482" w:rsidRPr="00165482" w:rsidRDefault="00165482" w:rsidP="00165482">
      <w:pPr>
        <w:pStyle w:val="Normal1"/>
        <w:spacing w:before="0" w:after="0"/>
        <w:jc w:val="center"/>
        <w:rPr>
          <w:rFonts w:ascii="Times New Roman" w:eastAsia="Arial" w:hAnsi="Times New Roman" w:cs="Times New Roman"/>
          <w:b/>
        </w:rPr>
      </w:pPr>
      <w:bookmarkStart w:id="9" w:name="_17dp8vu" w:colFirst="0" w:colLast="0"/>
      <w:bookmarkEnd w:id="9"/>
      <w:r w:rsidRPr="00165482">
        <w:rPr>
          <w:rFonts w:ascii="Times New Roman" w:eastAsia="Arial" w:hAnsi="Times New Roman" w:cs="Times New Roman"/>
          <w:b/>
        </w:rPr>
        <w:t>Seção V - Da Destinação de Recursos Públicos a Pessoas Físicas e Jurídicas</w:t>
      </w:r>
    </w:p>
    <w:p w:rsidR="00165482" w:rsidRDefault="00165482" w:rsidP="00165482">
      <w:pPr>
        <w:pStyle w:val="Normal1"/>
        <w:spacing w:before="0" w:after="0"/>
        <w:jc w:val="center"/>
        <w:rPr>
          <w:rFonts w:ascii="Times New Roman" w:eastAsia="Arial" w:hAnsi="Times New Roman" w:cs="Times New Roman"/>
          <w:b/>
        </w:rPr>
      </w:pPr>
      <w:r w:rsidRPr="00165482">
        <w:rPr>
          <w:rFonts w:ascii="Times New Roman" w:eastAsia="Arial" w:hAnsi="Times New Roman" w:cs="Times New Roman"/>
          <w:b/>
        </w:rPr>
        <w:t>Subseção I - Das Subvenções Econômicas</w:t>
      </w:r>
    </w:p>
    <w:p w:rsidR="00165482" w:rsidRPr="00165482" w:rsidRDefault="00165482" w:rsidP="00165482">
      <w:pPr>
        <w:pStyle w:val="Normal1"/>
        <w:spacing w:before="0" w:after="0"/>
        <w:jc w:val="center"/>
        <w:rPr>
          <w:rFonts w:ascii="Times New Roman" w:eastAsia="Arial" w:hAnsi="Times New Roman" w:cs="Times New Roman"/>
          <w:b/>
        </w:rPr>
      </w:pP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Art. 32.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101/2000.</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1</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xml:space="preserve"> Em atendimento ao disposto no art. 19 da Lei Federal n</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xml:space="preserve"> 4.320/1964, a destinação de recursos às entidades privadas com fins lucrativos de que trata o </w:t>
      </w:r>
      <w:r w:rsidRPr="00165482">
        <w:rPr>
          <w:rFonts w:ascii="Times New Roman" w:eastAsia="Arial" w:hAnsi="Times New Roman" w:cs="Times New Roman"/>
          <w:i/>
        </w:rPr>
        <w:t>caput</w:t>
      </w:r>
      <w:r w:rsidRPr="00165482">
        <w:rPr>
          <w:rFonts w:ascii="Times New Roman" w:eastAsia="Arial" w:hAnsi="Times New Roman" w:cs="Times New Roman"/>
        </w:rPr>
        <w:t xml:space="preserve"> somente poderá ocorrer por meio de subvenções econômicas, sendo vedada a transferência a título de contribuições ou auxílios para despesas de capital.</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2</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xml:space="preserve"> As transferências a entidades privadas com fins lucrativos de que trata o “caput” deste artigo, serão executadas na modalidade de aplicação “60 – Transferências a Instituições Privadas com fins lucrativos” e no elemento de despesa “45 – Subvenções Econômicas”.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3</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xml:space="preserve"> O orçamento poderá prever a celebração de termos de fomento, colaboração e cooperação com entidades sem fins lucrativos, consoante disposto na Lei Federal nº 13.019, </w:t>
      </w:r>
      <w:r w:rsidRPr="00165482">
        <w:rPr>
          <w:rFonts w:ascii="Times New Roman" w:eastAsia="Arial" w:hAnsi="Times New Roman" w:cs="Times New Roman"/>
        </w:rPr>
        <w:lastRenderedPageBreak/>
        <w:t>de 31 de julho de 2014 e regulamentação do tema em nível local, atendendo às normas estabelecidas pelo Tribunal de Contas do Estado do Rio Grande do Sul</w:t>
      </w:r>
      <w:r w:rsidRPr="00165482">
        <w:rPr>
          <w:rFonts w:ascii="Times New Roman" w:hAnsi="Times New Roman" w:cs="Times New Roman"/>
        </w:rPr>
        <w:t>.</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Art. 33. 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w:t>
      </w:r>
    </w:p>
    <w:p w:rsidR="00165482" w:rsidRPr="00165482" w:rsidRDefault="00165482" w:rsidP="00165482">
      <w:pPr>
        <w:pStyle w:val="Normal1"/>
        <w:spacing w:before="0" w:after="0"/>
        <w:rPr>
          <w:rFonts w:ascii="Times New Roman" w:eastAsia="Arial" w:hAnsi="Times New Roman" w:cs="Times New Roman"/>
        </w:rPr>
      </w:pPr>
    </w:p>
    <w:p w:rsidR="00165482" w:rsidRDefault="00165482" w:rsidP="00165482">
      <w:pPr>
        <w:pStyle w:val="Normal1"/>
        <w:spacing w:before="0" w:after="0"/>
        <w:jc w:val="center"/>
        <w:rPr>
          <w:rFonts w:ascii="Times New Roman" w:eastAsia="Arial" w:hAnsi="Times New Roman" w:cs="Times New Roman"/>
          <w:b/>
        </w:rPr>
      </w:pPr>
      <w:r w:rsidRPr="00165482">
        <w:rPr>
          <w:rFonts w:ascii="Times New Roman" w:eastAsia="Arial" w:hAnsi="Times New Roman" w:cs="Times New Roman"/>
          <w:b/>
        </w:rPr>
        <w:t>Subseção II - Das Subvenções Sociais</w:t>
      </w:r>
    </w:p>
    <w:p w:rsidR="00165482" w:rsidRPr="00165482" w:rsidRDefault="00165482" w:rsidP="00165482">
      <w:pPr>
        <w:pStyle w:val="Normal1"/>
        <w:spacing w:before="0" w:after="0"/>
        <w:jc w:val="center"/>
        <w:rPr>
          <w:rFonts w:ascii="Times New Roman" w:eastAsia="Arial" w:hAnsi="Times New Roman" w:cs="Times New Roman"/>
          <w:b/>
        </w:rPr>
      </w:pP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Art. 34. A transferência de recursos a título de subvenções sociais, nos termos dos </w:t>
      </w:r>
      <w:proofErr w:type="spellStart"/>
      <w:r w:rsidRPr="00165482">
        <w:rPr>
          <w:rFonts w:ascii="Times New Roman" w:eastAsia="Arial" w:hAnsi="Times New Roman" w:cs="Times New Roman"/>
        </w:rPr>
        <w:t>arts</w:t>
      </w:r>
      <w:proofErr w:type="spellEnd"/>
      <w:r w:rsidRPr="00165482">
        <w:rPr>
          <w:rFonts w:ascii="Times New Roman" w:eastAsia="Arial" w:hAnsi="Times New Roman" w:cs="Times New Roman"/>
        </w:rPr>
        <w:t>. 12, § 3º, I, 16 e 17 da Lei Federal n</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xml:space="preserve"> 4.320/1964, </w:t>
      </w:r>
      <w:proofErr w:type="gramStart"/>
      <w:r w:rsidRPr="00165482">
        <w:rPr>
          <w:rFonts w:ascii="Times New Roman" w:eastAsia="Arial" w:hAnsi="Times New Roman" w:cs="Times New Roman"/>
        </w:rPr>
        <w:t>atenderá</w:t>
      </w:r>
      <w:proofErr w:type="gramEnd"/>
      <w:r w:rsidRPr="00165482">
        <w:rPr>
          <w:rFonts w:ascii="Times New Roman" w:eastAsia="Arial" w:hAnsi="Times New Roman" w:cs="Times New Roman"/>
        </w:rPr>
        <w:t xml:space="preserve"> às entidades privadas sem fins lucrativos que exerçam atividades de natureza continuada nas áreas de cultura, assistência social, saúde e educação.</w:t>
      </w:r>
    </w:p>
    <w:p w:rsidR="00165482" w:rsidRPr="00165482" w:rsidRDefault="00165482" w:rsidP="00165482">
      <w:pPr>
        <w:pStyle w:val="Normal1"/>
        <w:spacing w:before="0" w:after="0"/>
        <w:rPr>
          <w:rFonts w:ascii="Times New Roman" w:eastAsia="Arial" w:hAnsi="Times New Roman" w:cs="Times New Roman"/>
        </w:rPr>
      </w:pPr>
    </w:p>
    <w:p w:rsidR="00165482" w:rsidRDefault="00165482" w:rsidP="00165482">
      <w:pPr>
        <w:pStyle w:val="Normal1"/>
        <w:spacing w:before="0" w:after="0"/>
        <w:jc w:val="center"/>
        <w:rPr>
          <w:rFonts w:ascii="Times New Roman" w:eastAsia="Arial" w:hAnsi="Times New Roman" w:cs="Times New Roman"/>
          <w:b/>
        </w:rPr>
      </w:pPr>
      <w:r w:rsidRPr="00165482">
        <w:rPr>
          <w:rFonts w:ascii="Times New Roman" w:eastAsia="Arial" w:hAnsi="Times New Roman" w:cs="Times New Roman"/>
          <w:b/>
        </w:rPr>
        <w:t>Subseção III - Das Contribuições Correntes e de Capital</w:t>
      </w:r>
    </w:p>
    <w:p w:rsidR="00165482" w:rsidRPr="00165482" w:rsidRDefault="00165482" w:rsidP="00165482">
      <w:pPr>
        <w:pStyle w:val="Normal1"/>
        <w:spacing w:before="0" w:after="0"/>
        <w:jc w:val="center"/>
        <w:rPr>
          <w:rFonts w:ascii="Times New Roman" w:eastAsia="Arial" w:hAnsi="Times New Roman" w:cs="Times New Roman"/>
          <w:b/>
        </w:rPr>
      </w:pP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Art. 35. A transferência de recursos a título de contribuição corrente somente será destinada a entidades sem fins lucrativos que preencham uma das seguintes condições: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 – estejam autorizadas em lei que identifique expressamente a entidade beneficiária;</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II - estejam nominalmente identificadas na Lei Orçamentária de 2020; </w:t>
      </w:r>
      <w:proofErr w:type="gramStart"/>
      <w:r w:rsidRPr="00165482">
        <w:rPr>
          <w:rFonts w:ascii="Times New Roman" w:eastAsia="Arial" w:hAnsi="Times New Roman" w:cs="Times New Roman"/>
        </w:rPr>
        <w:t>ou</w:t>
      </w:r>
      <w:proofErr w:type="gramEnd"/>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III - sejam selecionadas para execução, em parceria com a Administração Pública Municipal, de atividades ou projetos que contribuam diretamente para o alcance de diretrizes, objetivos e metas previstas no Plano Plurianual.</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Parágrafo único. No caso dos incisos I e II do </w:t>
      </w:r>
      <w:r w:rsidRPr="00165482">
        <w:rPr>
          <w:rFonts w:ascii="Times New Roman" w:eastAsia="Arial" w:hAnsi="Times New Roman" w:cs="Times New Roman"/>
          <w:i/>
        </w:rPr>
        <w:t>caput</w:t>
      </w:r>
      <w:r w:rsidRPr="00165482">
        <w:rPr>
          <w:rFonts w:ascii="Times New Roman" w:eastAsia="Arial" w:hAnsi="Times New Roman" w:cs="Times New Roman"/>
        </w:rPr>
        <w:t>, a transferência dependerá da formalização do ajuste, observadas as exigências legais aplicáveis à espécie.</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Art. 36. A alocação de recursos para entidades privadas sem fins lucrativos, a título de contribuições de capital, fica condicionada à autorização em lei especial anterior de que trata o art. 12, § 6</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da Lei Federal n</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xml:space="preserve"> 4.320/1964.</w:t>
      </w:r>
    </w:p>
    <w:p w:rsidR="00165482" w:rsidRDefault="00165482" w:rsidP="00165482">
      <w:pPr>
        <w:pStyle w:val="Normal1"/>
        <w:spacing w:before="0" w:after="0"/>
        <w:rPr>
          <w:rFonts w:ascii="Times New Roman" w:eastAsia="Arial" w:hAnsi="Times New Roman" w:cs="Times New Roman"/>
        </w:rPr>
      </w:pPr>
    </w:p>
    <w:p w:rsidR="00165482" w:rsidRDefault="00165482" w:rsidP="00165482">
      <w:pPr>
        <w:pStyle w:val="Normal1"/>
        <w:spacing w:before="0" w:after="0"/>
        <w:rPr>
          <w:rFonts w:ascii="Times New Roman" w:eastAsia="Arial" w:hAnsi="Times New Roman" w:cs="Times New Roman"/>
        </w:rPr>
      </w:pPr>
    </w:p>
    <w:p w:rsidR="00165482" w:rsidRPr="00165482" w:rsidRDefault="00165482" w:rsidP="00165482">
      <w:pPr>
        <w:pStyle w:val="Normal1"/>
        <w:spacing w:before="0" w:after="0"/>
        <w:rPr>
          <w:rFonts w:ascii="Times New Roman" w:eastAsia="Arial" w:hAnsi="Times New Roman" w:cs="Times New Roman"/>
        </w:rPr>
      </w:pPr>
    </w:p>
    <w:p w:rsidR="00165482" w:rsidRDefault="00165482" w:rsidP="00165482">
      <w:pPr>
        <w:pStyle w:val="Normal1"/>
        <w:spacing w:before="0" w:after="0"/>
        <w:jc w:val="center"/>
        <w:rPr>
          <w:rFonts w:ascii="Times New Roman" w:eastAsia="Arial" w:hAnsi="Times New Roman" w:cs="Times New Roman"/>
          <w:b/>
        </w:rPr>
      </w:pPr>
      <w:r w:rsidRPr="00165482">
        <w:rPr>
          <w:rFonts w:ascii="Times New Roman" w:eastAsia="Arial" w:hAnsi="Times New Roman" w:cs="Times New Roman"/>
          <w:b/>
        </w:rPr>
        <w:lastRenderedPageBreak/>
        <w:t>Subseção IV - Dos Auxílios</w:t>
      </w:r>
    </w:p>
    <w:p w:rsidR="00165482" w:rsidRPr="00165482" w:rsidRDefault="00165482" w:rsidP="00165482">
      <w:pPr>
        <w:pStyle w:val="Normal1"/>
        <w:spacing w:before="0" w:after="0"/>
        <w:jc w:val="center"/>
        <w:rPr>
          <w:rFonts w:ascii="Times New Roman" w:eastAsia="Arial" w:hAnsi="Times New Roman" w:cs="Times New Roman"/>
          <w:b/>
        </w:rPr>
      </w:pP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Art. 37. A transferência de recursos a título de auxílios, previstos no art. 12, § 6</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da Lei n</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xml:space="preserve"> 4.320/1964, somente poderá ser realizada para entidades privadas sem fins lucrativos que sejam:</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 - de atendimento direto e gratuito ao público e voltadas para a educação básica;</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II – para o desenvolvimento de programas voltados a manutenção e preservação do Meio Ambiente;</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III - voltadas a ações de saúde e de atendimento direto e gratuito ao público, prestadas por entidades sem fins lucrativos que sejam certificadas como entidades beneficentes de assistência social na área de saúde;</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IV - qualificadas como Organização da Sociedade Civil de Interesse Público - OSCIP, com termo de parceria firmada com o Poder Público Municipal, de acordo com a Lei Federal n</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xml:space="preserve"> 9.790/1999, e que participem da execução de programas constantes no plano plurianual, devendo a destinação de recursos </w:t>
      </w:r>
      <w:proofErr w:type="gramStart"/>
      <w:r w:rsidRPr="00165482">
        <w:rPr>
          <w:rFonts w:ascii="Times New Roman" w:eastAsia="Arial" w:hAnsi="Times New Roman" w:cs="Times New Roman"/>
        </w:rPr>
        <w:t>guardar</w:t>
      </w:r>
      <w:proofErr w:type="gramEnd"/>
      <w:r w:rsidRPr="00165482">
        <w:rPr>
          <w:rFonts w:ascii="Times New Roman" w:eastAsia="Arial" w:hAnsi="Times New Roman" w:cs="Times New Roman"/>
        </w:rPr>
        <w:t xml:space="preserve"> conformidade com os objetivos sociais da entidade;</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V – qualificadas como Organizações Sociais – OS, com contrato de gestão celebrado com o Poder Público Municipal, de acordo com a Lei Federal n</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xml:space="preserve"> 9.637/1998, para fomento e execução de atividades dirigidas ao ensino, à pesquisa científica, ao desenvolvimento tecnológico, à proteção e preservação do meio ambiente, à cultura e à saúde, de acordo com o programa de trabalho proposto, as metas a serem atingidas e os prazos de execução previstos;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VI - qualificadas para o desenvolvimento de atividades esportivas que contribuam para a formação e capacitação de atletas;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VII - destinada a atender, assegurar e a promover o exercício dos direitos e das liberdades fundamentais por pessoa com deficiência, visando à sua habilitação, reabilitação e integração social e cidadania, nos termos da Lei n</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13.146/2015;</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VIII - constituídas sob a forma de associações ou cooperativas formadas exclusivamente por pessoas físicas em situação de risco social, reconhecidas pelo poder público como catadores de materiais recicláveis e/ou reutilizáveis, cujas ações estejam </w:t>
      </w:r>
      <w:r w:rsidRPr="00165482">
        <w:rPr>
          <w:rFonts w:ascii="Times New Roman" w:eastAsia="Arial" w:hAnsi="Times New Roman" w:cs="Times New Roman"/>
        </w:rPr>
        <w:lastRenderedPageBreak/>
        <w:t>contempladas no Plano Municipal de Gerenciamento de Resíduos Sólidos, de que trata a Lei n</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12.305/2010, regulamentada pelo Decreto Federal n</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xml:space="preserve"> 7.404/2010; </w:t>
      </w:r>
      <w:proofErr w:type="gramStart"/>
      <w:r w:rsidRPr="00165482">
        <w:rPr>
          <w:rFonts w:ascii="Times New Roman" w:eastAsia="Arial" w:hAnsi="Times New Roman" w:cs="Times New Roman"/>
        </w:rPr>
        <w:t>e</w:t>
      </w:r>
      <w:proofErr w:type="gramEnd"/>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IX - voltadas ao atendimento direto e gratuito ao público na área de assistência social que:</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 se destinem a pessoas idosas, crianças e adolescentes em situação de vulnerabilidade social, risco pessoal e social;</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b) sejam voltadas ao atendimento de pessoas em situação de vulnerabilidade social, violação de direito ou diretamente alcançadas por programas e ações de combate à pobreza e geração de trabalho e renda;</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1º No caso do inciso I, a transferência de recursos públicos deve ser obrigatoriamente justificada e vinculada ao plano de expansão da oferta pública na respectiva etapa e modalidade de educação.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2º No caso do inciso IV, as transferências serão efetuadas por meio de termo de parceria, caso em que deverá ser observada a legislação específica pertinente a essas entidades e processo seletivo de ampla divulgação.</w:t>
      </w:r>
    </w:p>
    <w:p w:rsidR="00165482" w:rsidRPr="00165482" w:rsidRDefault="00165482" w:rsidP="00165482">
      <w:pPr>
        <w:pStyle w:val="Normal1"/>
        <w:spacing w:before="0" w:after="0"/>
        <w:rPr>
          <w:rFonts w:ascii="Times New Roman" w:eastAsia="Arial" w:hAnsi="Times New Roman" w:cs="Times New Roman"/>
        </w:rPr>
      </w:pPr>
    </w:p>
    <w:p w:rsidR="00165482" w:rsidRDefault="00165482" w:rsidP="00165482">
      <w:pPr>
        <w:pStyle w:val="Normal1"/>
        <w:spacing w:before="0" w:after="0"/>
        <w:jc w:val="center"/>
        <w:rPr>
          <w:rFonts w:ascii="Times New Roman" w:eastAsia="Arial" w:hAnsi="Times New Roman" w:cs="Times New Roman"/>
          <w:b/>
        </w:rPr>
      </w:pPr>
      <w:r w:rsidRPr="00165482">
        <w:rPr>
          <w:rFonts w:ascii="Times New Roman" w:eastAsia="Arial" w:hAnsi="Times New Roman" w:cs="Times New Roman"/>
          <w:b/>
        </w:rPr>
        <w:t>Subseção V - Das Disposições Gerais</w:t>
      </w:r>
    </w:p>
    <w:p w:rsidR="00165482" w:rsidRPr="00165482" w:rsidRDefault="00165482" w:rsidP="00165482">
      <w:pPr>
        <w:pStyle w:val="Normal1"/>
        <w:spacing w:before="0" w:after="0"/>
        <w:jc w:val="center"/>
        <w:rPr>
          <w:rFonts w:ascii="Times New Roman" w:eastAsia="Arial" w:hAnsi="Times New Roman" w:cs="Times New Roman"/>
          <w:b/>
        </w:rPr>
      </w:pP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Art. 38. Sem prejuízo das disposições contidas nos </w:t>
      </w:r>
      <w:proofErr w:type="spellStart"/>
      <w:r w:rsidRPr="00165482">
        <w:rPr>
          <w:rFonts w:ascii="Times New Roman" w:eastAsia="Arial" w:hAnsi="Times New Roman" w:cs="Times New Roman"/>
        </w:rPr>
        <w:t>arts</w:t>
      </w:r>
      <w:proofErr w:type="spellEnd"/>
      <w:r w:rsidRPr="00165482">
        <w:rPr>
          <w:rFonts w:ascii="Times New Roman" w:eastAsia="Arial" w:hAnsi="Times New Roman" w:cs="Times New Roman"/>
        </w:rPr>
        <w:t>. 39, 40, 41 e 42 desta Lei, a transferência de recursos prevista na Lei Federal n</w:t>
      </w:r>
      <w:r w:rsidRPr="00165482">
        <w:rPr>
          <w:rFonts w:ascii="Times New Roman" w:eastAsia="Arial" w:hAnsi="Times New Roman" w:cs="Times New Roman"/>
          <w:u w:val="single"/>
          <w:vertAlign w:val="superscript"/>
        </w:rPr>
        <w:t>o</w:t>
      </w:r>
      <w:proofErr w:type="gramStart"/>
      <w:r w:rsidRPr="00165482">
        <w:rPr>
          <w:rFonts w:ascii="Times New Roman" w:eastAsia="Arial" w:hAnsi="Times New Roman" w:cs="Times New Roman"/>
        </w:rPr>
        <w:t xml:space="preserve">  </w:t>
      </w:r>
      <w:proofErr w:type="gramEnd"/>
      <w:r w:rsidRPr="00165482">
        <w:rPr>
          <w:rFonts w:ascii="Times New Roman" w:eastAsia="Arial" w:hAnsi="Times New Roman" w:cs="Times New Roman"/>
        </w:rPr>
        <w:t>4.320/1964, a entidade privada sem fins lucrativos, dependerá ainda de:</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 – execução da despesa na modalidade de aplicação “50 – Transferências a Instituições Privadas sem fins lucrativos” e nos elementos de despesa “41 - Contribuições”, “42 - Auxílio” ou “43 - Subvenções Sociais”;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II – estar regularmente constituída, assim considerado: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 no mínimo 01 (um) ano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lastRenderedPageBreak/>
        <w:t>b) tenha escrituração de acordo com os princípios fundamentais de contabilidade e com as Normas Brasileiras de Contabilidade;</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III – ter apresentado as prestações de contas de recursos anteriormente recebidos, nos prazos e condições fixados na legislação e no convênio ou termo de parceria, contrato ou instrumento </w:t>
      </w:r>
      <w:proofErr w:type="gramStart"/>
      <w:r w:rsidRPr="00165482">
        <w:rPr>
          <w:rFonts w:ascii="Times New Roman" w:eastAsia="Arial" w:hAnsi="Times New Roman" w:cs="Times New Roman"/>
        </w:rPr>
        <w:t>congênere celebrados</w:t>
      </w:r>
      <w:proofErr w:type="gramEnd"/>
      <w:r w:rsidRPr="00165482">
        <w:rPr>
          <w:rFonts w:ascii="Times New Roman" w:eastAsia="Arial" w:hAnsi="Times New Roman" w:cs="Times New Roman"/>
        </w:rPr>
        <w:t>;</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IV – inexistir prestação de contas rejeitada pela Administração Pública nos últimos cinco anos, exceto se a apreciação das contas estiver pendente de decisão sobre recurso com efeito suspensivo, for sanada a irregularidade ou quitados os débitos ou reconsiderada a decisão pela </w:t>
      </w:r>
      <w:proofErr w:type="gramStart"/>
      <w:r w:rsidRPr="00165482">
        <w:rPr>
          <w:rFonts w:ascii="Times New Roman" w:eastAsia="Arial" w:hAnsi="Times New Roman" w:cs="Times New Roman"/>
        </w:rPr>
        <w:t>rejeição</w:t>
      </w:r>
      <w:proofErr w:type="gramEnd"/>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V – não ter como dirigente pessoa que:</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 seja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b) incida em quaisquer das hipóteses de inelegibilidade previstas no art. 1</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xml:space="preserve">, inciso I, da Lei Complementar </w:t>
      </w:r>
      <w:proofErr w:type="gramStart"/>
      <w:r w:rsidRPr="00165482">
        <w:rPr>
          <w:rFonts w:ascii="Times New Roman" w:eastAsia="Arial" w:hAnsi="Times New Roman" w:cs="Times New Roman"/>
        </w:rPr>
        <w:t>n</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xml:space="preserve"> 64</w:t>
      </w:r>
      <w:proofErr w:type="gramEnd"/>
      <w:r w:rsidRPr="00165482">
        <w:rPr>
          <w:rFonts w:ascii="Times New Roman" w:eastAsia="Arial" w:hAnsi="Times New Roman" w:cs="Times New Roman"/>
        </w:rPr>
        <w:t>, de 18 de maio de 1990;</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c) cujas contas relativas a convênios, termos de parcerias, contratos ou instrumentos congêneres tenham sido julgadas irregulares ou rejeitadas por Tribunal ou Conselho de Contas de qualquer esfera da Federação, em decisão irrecorrível, nos últimos </w:t>
      </w:r>
      <w:proofErr w:type="gramStart"/>
      <w:r w:rsidRPr="00165482">
        <w:rPr>
          <w:rFonts w:ascii="Times New Roman" w:eastAsia="Arial" w:hAnsi="Times New Roman" w:cs="Times New Roman"/>
        </w:rPr>
        <w:t>8</w:t>
      </w:r>
      <w:proofErr w:type="gramEnd"/>
      <w:r w:rsidRPr="00165482">
        <w:rPr>
          <w:rFonts w:ascii="Times New Roman" w:eastAsia="Arial" w:hAnsi="Times New Roman" w:cs="Times New Roman"/>
        </w:rPr>
        <w:t xml:space="preserve"> (oito) anos;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d) tenha sido julgada responsável por falta grave e inabilitada para o exercício de cargo em comissão ou função de confiança, enquanto durar a inabilitação;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e) tenha sido considerada responsável por ato de improbidade, enquanto durarem os prazos estabelecidos nos incisos I, II e III do art. 12 da Lei no</w:t>
      </w:r>
      <w:r w:rsidRPr="00165482">
        <w:rPr>
          <w:rFonts w:ascii="Times New Roman" w:eastAsia="Arial" w:hAnsi="Times New Roman" w:cs="Times New Roman"/>
          <w:u w:val="single"/>
        </w:rPr>
        <w:t> </w:t>
      </w:r>
      <w:r w:rsidRPr="00165482">
        <w:rPr>
          <w:rFonts w:ascii="Times New Roman" w:eastAsia="Arial" w:hAnsi="Times New Roman" w:cs="Times New Roman"/>
        </w:rPr>
        <w:t xml:space="preserve">8.429, de </w:t>
      </w:r>
      <w:proofErr w:type="gramStart"/>
      <w:r w:rsidRPr="00165482">
        <w:rPr>
          <w:rFonts w:ascii="Times New Roman" w:eastAsia="Arial" w:hAnsi="Times New Roman" w:cs="Times New Roman"/>
        </w:rPr>
        <w:t>2</w:t>
      </w:r>
      <w:proofErr w:type="gramEnd"/>
      <w:r w:rsidRPr="00165482">
        <w:rPr>
          <w:rFonts w:ascii="Times New Roman" w:eastAsia="Arial" w:hAnsi="Times New Roman" w:cs="Times New Roman"/>
        </w:rPr>
        <w:t xml:space="preserve"> de junho de 1992.</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VI – formalização de processo administrativo, no qual </w:t>
      </w:r>
      <w:proofErr w:type="gramStart"/>
      <w:r w:rsidRPr="00165482">
        <w:rPr>
          <w:rFonts w:ascii="Times New Roman" w:eastAsia="Arial" w:hAnsi="Times New Roman" w:cs="Times New Roman"/>
        </w:rPr>
        <w:t>fiquem</w:t>
      </w:r>
      <w:proofErr w:type="gramEnd"/>
      <w:r w:rsidRPr="00165482">
        <w:rPr>
          <w:rFonts w:ascii="Times New Roman" w:eastAsia="Arial" w:hAnsi="Times New Roman" w:cs="Times New Roman"/>
        </w:rPr>
        <w:t xml:space="preserve"> demonstrados formalmente o cumprimento das exigências legais em razão do regime jurídico aplicável à espécie, além da emissão do parecer do órgão técnico da Administração Pública e da emissão de parecer jurídico do órgão de assessoria ou consultoria jurídica da Administração Pública acerca da possibilidade de celebração da parceria.</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Parágrafo único. Caberá à Secretaria da Administração verificar e declarar a </w:t>
      </w:r>
      <w:proofErr w:type="gramStart"/>
      <w:r w:rsidRPr="00165482">
        <w:rPr>
          <w:rFonts w:ascii="Times New Roman" w:eastAsia="Arial" w:hAnsi="Times New Roman" w:cs="Times New Roman"/>
        </w:rPr>
        <w:t>implementação</w:t>
      </w:r>
      <w:proofErr w:type="gramEnd"/>
      <w:r w:rsidRPr="00165482">
        <w:rPr>
          <w:rFonts w:ascii="Times New Roman" w:eastAsia="Arial" w:hAnsi="Times New Roman" w:cs="Times New Roman"/>
        </w:rPr>
        <w:t xml:space="preserve"> das condições previstas neste artigo e demais requisitos estabelecidos nesta </w:t>
      </w:r>
      <w:r w:rsidRPr="00165482">
        <w:rPr>
          <w:rFonts w:ascii="Times New Roman" w:eastAsia="Arial" w:hAnsi="Times New Roman" w:cs="Times New Roman"/>
        </w:rPr>
        <w:lastRenderedPageBreak/>
        <w:t>seção, comunicando à Unidade Central de Controle Interno eventuais irregularidades verificadas.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Art. 39. É necessária a contrapartida para as transferências previstas na forma dos artigos 39, 40, 41 e 42, que poderá ser atendida por meio de recursos financeiros ou de bens ou serviços economicamente mensuráveis, cuja expressão monetária será obrigatoriamente identificada no termo de colaboração ou de fomento.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Art. 40.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Parágrafo único.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I – nome e CNPJ da entidade;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II – nome, função e CPF dos dirigentes;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III – área de atuação;</w:t>
      </w:r>
      <w:proofErr w:type="gramStart"/>
      <w:r w:rsidRPr="00165482">
        <w:rPr>
          <w:rFonts w:ascii="Times New Roman" w:eastAsia="Arial" w:hAnsi="Times New Roman" w:cs="Times New Roman"/>
        </w:rPr>
        <w:t xml:space="preserve">  </w:t>
      </w:r>
    </w:p>
    <w:p w:rsidR="00165482" w:rsidRPr="00165482" w:rsidRDefault="00165482" w:rsidP="00165482">
      <w:pPr>
        <w:pStyle w:val="Normal1"/>
        <w:spacing w:before="0" w:after="0"/>
        <w:rPr>
          <w:rFonts w:ascii="Times New Roman" w:eastAsia="Arial" w:hAnsi="Times New Roman" w:cs="Times New Roman"/>
        </w:rPr>
      </w:pPr>
      <w:proofErr w:type="gramEnd"/>
      <w:r w:rsidRPr="00165482">
        <w:rPr>
          <w:rFonts w:ascii="Times New Roman" w:eastAsia="Arial" w:hAnsi="Times New Roman" w:cs="Times New Roman"/>
        </w:rPr>
        <w:t xml:space="preserve">V – endereço da sede;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V – data, objeto, valor e número do convênio, termo de parceria, contrato ou instrumento congênere; </w:t>
      </w:r>
    </w:p>
    <w:p w:rsidR="00165482" w:rsidRPr="00165482" w:rsidRDefault="00165482" w:rsidP="00165482">
      <w:pPr>
        <w:pStyle w:val="Normal1"/>
        <w:spacing w:before="0" w:after="0"/>
        <w:ind w:left="567" w:firstLine="0"/>
        <w:rPr>
          <w:rFonts w:ascii="Times New Roman" w:eastAsia="Arial" w:hAnsi="Times New Roman" w:cs="Times New Roman"/>
        </w:rPr>
      </w:pPr>
      <w:r w:rsidRPr="00165482">
        <w:rPr>
          <w:rFonts w:ascii="Times New Roman" w:eastAsia="Arial" w:hAnsi="Times New Roman" w:cs="Times New Roman"/>
        </w:rPr>
        <w:t xml:space="preserve">VI – valores transferidos e respectivas datas. </w:t>
      </w:r>
    </w:p>
    <w:p w:rsidR="00165482" w:rsidRPr="00165482" w:rsidRDefault="00165482" w:rsidP="00165482">
      <w:pPr>
        <w:pStyle w:val="Normal1"/>
        <w:spacing w:before="0" w:after="0"/>
        <w:ind w:left="567" w:firstLine="0"/>
        <w:rPr>
          <w:rFonts w:ascii="Times New Roman" w:eastAsia="Arial" w:hAnsi="Times New Roman" w:cs="Times New Roman"/>
        </w:rPr>
      </w:pPr>
      <w:r w:rsidRPr="00165482">
        <w:rPr>
          <w:rFonts w:ascii="Times New Roman" w:eastAsia="Arial" w:hAnsi="Times New Roman" w:cs="Times New Roman"/>
          <w:sz w:val="12"/>
          <w:szCs w:val="12"/>
        </w:rPr>
        <w:br/>
      </w:r>
      <w:r w:rsidRPr="00165482">
        <w:rPr>
          <w:rFonts w:ascii="Times New Roman" w:eastAsia="Arial" w:hAnsi="Times New Roman" w:cs="Times New Roman"/>
        </w:rPr>
        <w:t>Art. 41. Não serão consideradas subvenções, auxílios ou contribuições, o rateio das despesas decorrentes da participação do Município em Consórcios Públicos instituído nos termos da Lei Federal nº 11.107/2005.</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Art. 42.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da competência da despesa, previsto no art. 50, inciso II, da Lei Complementar n</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101/2000.</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lastRenderedPageBreak/>
        <w:t>Art. 43. Toda movimentação de recursos relativos às subvenções, contribuições e auxílios de que trata esta Seção, por parte das entidades beneficiárias, somente será realizada observando-se os seguintes preceitos: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 – depósito e movimentação em conta bancária específica para cada instrumento de transferência;</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II - desembolsos mediante documento bancário, por meio do qual se faça crédito na conta bancária de titularidade do fornecedor ou prestador de serviços.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Parágrafo único. Em </w:t>
      </w:r>
      <w:proofErr w:type="gramStart"/>
      <w:r w:rsidRPr="00165482">
        <w:rPr>
          <w:rFonts w:ascii="Times New Roman" w:eastAsia="Arial" w:hAnsi="Times New Roman" w:cs="Times New Roman"/>
        </w:rPr>
        <w:t>sendo formalmente demonstrada</w:t>
      </w:r>
      <w:proofErr w:type="gramEnd"/>
      <w:r w:rsidRPr="00165482">
        <w:rPr>
          <w:rFonts w:ascii="Times New Roman" w:eastAsia="Arial" w:hAnsi="Times New Roman" w:cs="Times New Roman"/>
        </w:rPr>
        <w:t xml:space="preserve">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165482" w:rsidRPr="00165482" w:rsidRDefault="00165482" w:rsidP="00165482">
      <w:pPr>
        <w:pStyle w:val="Normal1"/>
        <w:spacing w:before="0" w:after="0"/>
        <w:rPr>
          <w:rFonts w:ascii="Times New Roman" w:eastAsia="Arial" w:hAnsi="Times New Roman" w:cs="Times New Roman"/>
        </w:rPr>
      </w:pPr>
    </w:p>
    <w:p w:rsidR="00165482" w:rsidRDefault="00165482" w:rsidP="00165482">
      <w:pPr>
        <w:pStyle w:val="Normal1"/>
        <w:spacing w:before="0" w:after="0"/>
        <w:jc w:val="center"/>
        <w:rPr>
          <w:rFonts w:ascii="Times New Roman" w:eastAsia="Arial" w:hAnsi="Times New Roman" w:cs="Times New Roman"/>
          <w:b/>
        </w:rPr>
      </w:pPr>
      <w:bookmarkStart w:id="10" w:name="_3rdcrjn" w:colFirst="0" w:colLast="0"/>
      <w:bookmarkEnd w:id="10"/>
      <w:proofErr w:type="gramStart"/>
      <w:r w:rsidRPr="00165482">
        <w:rPr>
          <w:rFonts w:ascii="Times New Roman" w:eastAsia="Arial" w:hAnsi="Times New Roman" w:cs="Times New Roman"/>
          <w:b/>
        </w:rPr>
        <w:t>Seção VI</w:t>
      </w:r>
      <w:proofErr w:type="gramEnd"/>
      <w:r w:rsidRPr="00165482">
        <w:rPr>
          <w:rFonts w:ascii="Times New Roman" w:eastAsia="Arial" w:hAnsi="Times New Roman" w:cs="Times New Roman"/>
          <w:b/>
        </w:rPr>
        <w:t xml:space="preserve"> - Dos Empréstimos, Financiamentos e Refinanciamentos</w:t>
      </w:r>
    </w:p>
    <w:p w:rsidR="00165482" w:rsidRPr="00165482" w:rsidRDefault="00165482" w:rsidP="00165482">
      <w:pPr>
        <w:pStyle w:val="Normal1"/>
        <w:spacing w:before="0" w:after="0"/>
        <w:jc w:val="center"/>
        <w:rPr>
          <w:rFonts w:ascii="Times New Roman" w:eastAsia="Arial" w:hAnsi="Times New Roman" w:cs="Times New Roman"/>
          <w:b/>
        </w:rPr>
      </w:pP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Art. 44. Observado o disposto no art. 27 da LC nº 101/2000, a concessão de empréstimos e financiamentos destinados a pessoas físicas e jurídicas fica condicionada ao pagamento de juros não inferiores a 12% (doze por cento) ao ano, ou ao custo de captação e também às seguintes exigências: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 - concessão através de fundo rotativo ou programa governamental específico;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II - pré-seleção e aprovação dos beneficiários pelo Poder Público;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III - formalização de contrato;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IV – assunção, pelo mutuário, dos encargos financeiros, eventuais comissões, taxas e outras despesas cobradas pelo agente financeiro, quando for o caso.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 1º Através de lei específica, poderá ser concedido subsídio para o pagamento dos empréstimos e financiamentos de que trata o </w:t>
      </w:r>
      <w:r w:rsidRPr="00165482">
        <w:rPr>
          <w:rFonts w:ascii="Times New Roman" w:eastAsia="Arial" w:hAnsi="Times New Roman" w:cs="Times New Roman"/>
          <w:i/>
        </w:rPr>
        <w:t>caput</w:t>
      </w:r>
      <w:r w:rsidRPr="00165482">
        <w:rPr>
          <w:rFonts w:ascii="Times New Roman" w:eastAsia="Arial" w:hAnsi="Times New Roman" w:cs="Times New Roman"/>
        </w:rPr>
        <w:t xml:space="preserve"> deste artigo;</w:t>
      </w:r>
    </w:p>
    <w:p w:rsid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2º As prorrogações e composições de dívidas decorrentes de empréstimos, financiamentos e refinanciamentos concedidos com recursos do Município dependem de autorização expressa em lei específica.</w:t>
      </w:r>
    </w:p>
    <w:p w:rsidR="00165482" w:rsidRPr="00165482" w:rsidRDefault="00165482" w:rsidP="00165482">
      <w:pPr>
        <w:pStyle w:val="Normal1"/>
        <w:spacing w:before="0" w:after="0"/>
        <w:rPr>
          <w:rFonts w:ascii="Times New Roman" w:eastAsia="Arial" w:hAnsi="Times New Roman" w:cs="Times New Roman"/>
        </w:rPr>
      </w:pPr>
    </w:p>
    <w:p w:rsidR="00165482" w:rsidRPr="00165482" w:rsidRDefault="00165482" w:rsidP="00165482">
      <w:pPr>
        <w:pStyle w:val="Normal1"/>
        <w:spacing w:before="0" w:after="0"/>
        <w:rPr>
          <w:rFonts w:ascii="Times New Roman" w:eastAsia="Arial" w:hAnsi="Times New Roman" w:cs="Times New Roman"/>
        </w:rPr>
      </w:pPr>
    </w:p>
    <w:p w:rsidR="00165482" w:rsidRDefault="00165482" w:rsidP="00165482">
      <w:pPr>
        <w:pStyle w:val="Normal1"/>
        <w:spacing w:before="0" w:after="0"/>
        <w:rPr>
          <w:rFonts w:ascii="Times New Roman" w:eastAsia="Arial" w:hAnsi="Times New Roman" w:cs="Times New Roman"/>
          <w:b/>
        </w:rPr>
      </w:pPr>
      <w:bookmarkStart w:id="11" w:name="_26in1rg" w:colFirst="0" w:colLast="0"/>
      <w:bookmarkEnd w:id="11"/>
      <w:r>
        <w:rPr>
          <w:rFonts w:ascii="Times New Roman" w:eastAsia="Arial" w:hAnsi="Times New Roman" w:cs="Times New Roman"/>
          <w:b/>
        </w:rPr>
        <w:lastRenderedPageBreak/>
        <w:t xml:space="preserve">      </w:t>
      </w:r>
      <w:proofErr w:type="gramStart"/>
      <w:r w:rsidRPr="00165482">
        <w:rPr>
          <w:rFonts w:ascii="Times New Roman" w:eastAsia="Arial" w:hAnsi="Times New Roman" w:cs="Times New Roman"/>
          <w:b/>
        </w:rPr>
        <w:t>Capítulo VI</w:t>
      </w:r>
      <w:proofErr w:type="gramEnd"/>
      <w:r w:rsidRPr="00165482">
        <w:rPr>
          <w:rFonts w:ascii="Times New Roman" w:eastAsia="Arial" w:hAnsi="Times New Roman" w:cs="Times New Roman"/>
          <w:b/>
        </w:rPr>
        <w:t xml:space="preserve"> - Das Disposições Relativas à Dívida Pública Municipal</w:t>
      </w:r>
    </w:p>
    <w:p w:rsidR="00165482" w:rsidRPr="00165482" w:rsidRDefault="00165482" w:rsidP="00165482">
      <w:pPr>
        <w:pStyle w:val="Normal1"/>
        <w:spacing w:before="0" w:after="0"/>
        <w:rPr>
          <w:rFonts w:ascii="Times New Roman" w:eastAsia="Arial" w:hAnsi="Times New Roman" w:cs="Times New Roman"/>
          <w:b/>
        </w:rPr>
      </w:pP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Art. 45. A lei orçamentária anual garantirá recursos para pagamento da dívida pública municipal, nos termos dos compromissos firmados, inclusive com a previdência social.</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Art. 46.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rsidR="00165482" w:rsidRPr="00165482" w:rsidRDefault="00165482" w:rsidP="00165482">
      <w:pPr>
        <w:pStyle w:val="Normal1"/>
        <w:spacing w:before="0" w:after="0"/>
        <w:ind w:firstLine="0"/>
        <w:jc w:val="center"/>
        <w:rPr>
          <w:rFonts w:ascii="Times New Roman" w:eastAsia="Arial" w:hAnsi="Times New Roman" w:cs="Times New Roman"/>
        </w:rPr>
      </w:pPr>
    </w:p>
    <w:p w:rsidR="00165482" w:rsidRDefault="00165482" w:rsidP="00165482">
      <w:pPr>
        <w:pStyle w:val="Normal1"/>
        <w:spacing w:before="0" w:after="0"/>
        <w:ind w:firstLine="709"/>
        <w:jc w:val="center"/>
        <w:rPr>
          <w:rFonts w:ascii="Times New Roman" w:eastAsia="Arial" w:hAnsi="Times New Roman" w:cs="Times New Roman"/>
          <w:b/>
        </w:rPr>
      </w:pPr>
      <w:bookmarkStart w:id="12" w:name="_lnxbz9" w:colFirst="0" w:colLast="0"/>
      <w:bookmarkEnd w:id="12"/>
      <w:r w:rsidRPr="00165482">
        <w:rPr>
          <w:rFonts w:ascii="Times New Roman" w:eastAsia="Arial" w:hAnsi="Times New Roman" w:cs="Times New Roman"/>
          <w:b/>
        </w:rPr>
        <w:t>Capítulo VII - Das Disposições Relativas às Despesas com Pessoal</w:t>
      </w:r>
    </w:p>
    <w:p w:rsidR="00165482" w:rsidRDefault="00165482" w:rsidP="00165482">
      <w:pPr>
        <w:pStyle w:val="Normal1"/>
        <w:spacing w:before="0" w:after="0"/>
        <w:ind w:firstLine="709"/>
        <w:jc w:val="center"/>
        <w:rPr>
          <w:rFonts w:ascii="Times New Roman" w:eastAsia="Arial" w:hAnsi="Times New Roman" w:cs="Times New Roman"/>
          <w:b/>
        </w:rPr>
      </w:pPr>
      <w:proofErr w:type="gramStart"/>
      <w:r w:rsidRPr="00165482">
        <w:rPr>
          <w:rFonts w:ascii="Times New Roman" w:eastAsia="Arial" w:hAnsi="Times New Roman" w:cs="Times New Roman"/>
          <w:b/>
        </w:rPr>
        <w:t>e</w:t>
      </w:r>
      <w:proofErr w:type="gramEnd"/>
      <w:r w:rsidRPr="00165482">
        <w:rPr>
          <w:rFonts w:ascii="Times New Roman" w:eastAsia="Arial" w:hAnsi="Times New Roman" w:cs="Times New Roman"/>
          <w:b/>
        </w:rPr>
        <w:t xml:space="preserve"> Encargos Sociais</w:t>
      </w:r>
    </w:p>
    <w:p w:rsidR="00165482" w:rsidRPr="00165482" w:rsidRDefault="00165482" w:rsidP="00165482">
      <w:pPr>
        <w:pStyle w:val="Normal1"/>
        <w:spacing w:before="0" w:after="0"/>
        <w:ind w:firstLine="709"/>
        <w:jc w:val="center"/>
        <w:rPr>
          <w:rFonts w:ascii="Times New Roman" w:eastAsia="Arial" w:hAnsi="Times New Roman" w:cs="Times New Roman"/>
          <w:b/>
        </w:rPr>
      </w:pP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Art. 47. No exercício de 2020, as despesas globais com pessoal e encargos sociais do Município, dos Poderes Executivo e </w:t>
      </w:r>
      <w:proofErr w:type="gramStart"/>
      <w:r w:rsidRPr="00165482">
        <w:rPr>
          <w:rFonts w:ascii="Times New Roman" w:eastAsia="Arial" w:hAnsi="Times New Roman" w:cs="Times New Roman"/>
        </w:rPr>
        <w:t>Legislativo, compreendidas</w:t>
      </w:r>
      <w:proofErr w:type="gramEnd"/>
      <w:r w:rsidRPr="00165482">
        <w:rPr>
          <w:rFonts w:ascii="Times New Roman" w:eastAsia="Arial" w:hAnsi="Times New Roman" w:cs="Times New Roman"/>
        </w:rPr>
        <w:t xml:space="preserve"> as entidades mencionadas no art. 10 dessa Lei, deverão obedecer às disposições da LC nº 101/2000.</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 1º Os Poderes Executivo e Legislativo terão como base de projeção de suas propostas orçamentárias, relativo </w:t>
      </w:r>
      <w:proofErr w:type="gramStart"/>
      <w:r w:rsidRPr="00165482">
        <w:rPr>
          <w:rFonts w:ascii="Times New Roman" w:eastAsia="Arial" w:hAnsi="Times New Roman" w:cs="Times New Roman"/>
        </w:rPr>
        <w:t>a</w:t>
      </w:r>
      <w:proofErr w:type="gramEnd"/>
      <w:r w:rsidRPr="00165482">
        <w:rPr>
          <w:rFonts w:ascii="Times New Roman" w:eastAsia="Arial" w:hAnsi="Times New Roman" w:cs="Times New Roman"/>
        </w:rPr>
        <w:t xml:space="preserve"> pessoal e encargos sociais, a despesa com a folha de pagamento do mês de setembro de 2019, compatibilizada com as despesas apresentadas até esse mês e os eventuais acréscimos legais, inclusive a revisão geral anual da remuneração dos servidores públicos, o crescimento vegetativo, e o disposto no art. 50 desta Lei.</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 2º A revisão </w:t>
      </w:r>
      <w:proofErr w:type="gramStart"/>
      <w:r w:rsidRPr="00165482">
        <w:rPr>
          <w:rFonts w:ascii="Times New Roman" w:eastAsia="Arial" w:hAnsi="Times New Roman" w:cs="Times New Roman"/>
        </w:rPr>
        <w:t>geral anual da remuneração dos servidores públicos municipais</w:t>
      </w:r>
      <w:proofErr w:type="gramEnd"/>
      <w:r w:rsidRPr="00165482">
        <w:rPr>
          <w:rFonts w:ascii="Times New Roman" w:eastAsia="Arial" w:hAnsi="Times New Roman" w:cs="Times New Roman"/>
        </w:rPr>
        <w:t xml:space="preserve"> e do subsídio de que trata o § 4º do art. 39 da Constituição Federal, levará em conta, tanto quanto possível, a variação do poder aquisitivo da moeda nacional, segundo índices oficiais.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Art. 48. Para fins dos limites previstos no art. 19, inciso III, alíneas “a” e “b” da LC nº 101/2000, o cálculo das despesas com pessoal dos poderes executivo e legislativo deverá observar as prescrições da Instrução Normativa nº 18, de 22 de dezembro de 2015, do Tribunal de Contas do Estado, ou a norma que lhe for superveniente.</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Art. 49. Para fins de atendimento ao disposto no art. 39, § 6º da Constituição Federal, até 30 dias antes do prazo previsto para envio do Projeto de Lei Orçamentária ao Poder Legislativo, o Poder Executivo publicará os valores do subsídio e da remuneração dos cargos e empregos públicos.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lastRenderedPageBreak/>
        <w:t>Parágrafo único. O Poder Legislativo</w:t>
      </w:r>
      <w:proofErr w:type="gramStart"/>
      <w:r w:rsidRPr="00165482">
        <w:rPr>
          <w:rFonts w:ascii="Times New Roman" w:eastAsia="Arial" w:hAnsi="Times New Roman" w:cs="Times New Roman"/>
        </w:rPr>
        <w:t>, observará</w:t>
      </w:r>
      <w:proofErr w:type="gramEnd"/>
      <w:r w:rsidRPr="00165482">
        <w:rPr>
          <w:rFonts w:ascii="Times New Roman" w:eastAsia="Arial" w:hAnsi="Times New Roman" w:cs="Times New Roman"/>
        </w:rPr>
        <w:t xml:space="preserve"> o cumprimento do disposto neste artigo, mediante ato da mesa diretora da Câmara Municipal.</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Art. 50. O aumento da despesa com pessoal, em decorrência de quaisquer das medidas relacionadas no artigo 169, § 1º, da Constituição Federal, desde que observada </w:t>
      </w:r>
      <w:proofErr w:type="gramStart"/>
      <w:r w:rsidRPr="00165482">
        <w:rPr>
          <w:rFonts w:ascii="Times New Roman" w:eastAsia="Arial" w:hAnsi="Times New Roman" w:cs="Times New Roman"/>
        </w:rPr>
        <w:t>a</w:t>
      </w:r>
      <w:proofErr w:type="gramEnd"/>
      <w:r w:rsidRPr="00165482">
        <w:rPr>
          <w:rFonts w:ascii="Times New Roman" w:eastAsia="Arial" w:hAnsi="Times New Roman" w:cs="Times New Roman"/>
        </w:rPr>
        <w:t xml:space="preserve"> legislação vigente, respeitados os limites previstos nos artigos 20 e 22, parágrafo único, da LC nº 101/2000, e cumpridas as exigências previstas nos artigos 16 e 17 do referido diploma legal, fica autorizado para:</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 - conceder vantagens e aumentar a remuneração de servidores;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II - criar e extinguir cargos públicos e alterar a estrutura de carreiras;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III – prover cargos efetivos, mediante concurso público, bem como efetuar contratações por tempo determinado para atender à necessidade temporária de excepcional interesse público, respeitada a legislação municipal vigente;</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IV – prover cargos em comissão e funções de confiança;</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V - melhorar a qualidade do serviço público mediante a valorização do servidor municipal, reconhecendo a função social do seu trabalho;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VI - proporcionar o desenvolvimento profissional de servidores municipais, mediante a realização de programas de treinamento;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VII - proporcionar o desenvolvimento pessoal dos servidores municipais, mediante a realização de programas informativos, educativos e culturais;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VIII - melhorar as condições de trabalho, equipamentos e infraestrutura, especialmente no que concerne à saúde, alimentação, transporte, segurança no trabalho e justa remuneração.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 1º No caso dos incisos I, II, III e IV além dos requisitos estabelecidos no </w:t>
      </w:r>
      <w:r w:rsidRPr="00165482">
        <w:rPr>
          <w:rFonts w:ascii="Times New Roman" w:eastAsia="Arial" w:hAnsi="Times New Roman" w:cs="Times New Roman"/>
          <w:i/>
        </w:rPr>
        <w:t>caput</w:t>
      </w:r>
      <w:r w:rsidRPr="00165482">
        <w:rPr>
          <w:rFonts w:ascii="Times New Roman" w:eastAsia="Arial" w:hAnsi="Times New Roman" w:cs="Times New Roman"/>
        </w:rPr>
        <w:t xml:space="preserve"> deste artigo, os projetos de lei deverão demonstrar, em sua exposição de motivos, para os efeitos dos artigos 16 e 17 da LC nº 101/2000, as seguintes informações: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I - estimativa do impacto orçamentário-financeiro no exercício em que devam entrar em vigor e nos dois subsequentes, especificando-se os valores a serem acrescidos e o seu acréscimo percentual em relação à Receita Corrente Líquida estimada;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II - declaração do ordenador de despesas de que há adequação orçamentária e financeira e compatibilidade com esta Lei e com o Plano Plurianual, devendo ser indicadas as naturezas das despesas e os programas de trabalho da Lei Orçamentária Anual que </w:t>
      </w:r>
      <w:r w:rsidRPr="00165482">
        <w:rPr>
          <w:rFonts w:ascii="Times New Roman" w:eastAsia="Arial" w:hAnsi="Times New Roman" w:cs="Times New Roman"/>
        </w:rPr>
        <w:lastRenderedPageBreak/>
        <w:t xml:space="preserve">contenha as dotações orçamentárias, detalhando os valores já utilizados e os saldos remanescentes.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2º No caso de provimento de cargos,</w:t>
      </w:r>
      <w:proofErr w:type="gramStart"/>
      <w:r w:rsidRPr="00165482">
        <w:rPr>
          <w:rFonts w:ascii="Times New Roman" w:eastAsia="Arial" w:hAnsi="Times New Roman" w:cs="Times New Roman"/>
        </w:rPr>
        <w:t xml:space="preserve">  </w:t>
      </w:r>
      <w:proofErr w:type="gramEnd"/>
      <w:r w:rsidRPr="00165482">
        <w:rPr>
          <w:rFonts w:ascii="Times New Roman" w:eastAsia="Arial" w:hAnsi="Times New Roman" w:cs="Times New Roman"/>
        </w:rPr>
        <w:t>a estimativa do impacto orçamentário e financeiro deverá instruir o expediente administrativo correspondente, juntamente com a declaração do ordenador da despesa, de que o aumento tem adequação com a lei orçamentária anual, exigência essa a ser cumprida nos demais atos de contratação.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 3º No caso de aumento de despesas com pessoal do Poder Legislativo, deverão ser obedecidos, adicionalmente, os limites fixados nos </w:t>
      </w:r>
      <w:proofErr w:type="spellStart"/>
      <w:r w:rsidRPr="00165482">
        <w:rPr>
          <w:rFonts w:ascii="Times New Roman" w:eastAsia="Arial" w:hAnsi="Times New Roman" w:cs="Times New Roman"/>
        </w:rPr>
        <w:t>arts</w:t>
      </w:r>
      <w:proofErr w:type="spellEnd"/>
      <w:r w:rsidRPr="00165482">
        <w:rPr>
          <w:rFonts w:ascii="Times New Roman" w:eastAsia="Arial" w:hAnsi="Times New Roman" w:cs="Times New Roman"/>
        </w:rPr>
        <w:t xml:space="preserve">. 29 e 29-A da Constituição Federal.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4º Ficam dispensados, da estimativa de impacto orçamentário e financeiro, atos de concessão de vantagens já previstas na legislação pertinente, de caráter meramente declaratório.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 Art. 51.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 – as situações de emergência ou de calamidade pública;</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II – as situações de risco iminente à segurança de pessoas ou bens;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III – a relação custo-benefício se revelar mais favorável em relação </w:t>
      </w:r>
      <w:proofErr w:type="gramStart"/>
      <w:r w:rsidRPr="00165482">
        <w:rPr>
          <w:rFonts w:ascii="Times New Roman" w:eastAsia="Arial" w:hAnsi="Times New Roman" w:cs="Times New Roman"/>
        </w:rPr>
        <w:t>a</w:t>
      </w:r>
      <w:proofErr w:type="gramEnd"/>
      <w:r w:rsidRPr="00165482">
        <w:rPr>
          <w:rFonts w:ascii="Times New Roman" w:eastAsia="Arial" w:hAnsi="Times New Roman" w:cs="Times New Roman"/>
        </w:rPr>
        <w:t xml:space="preserve"> outra alternativa possível.</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Parágrafo único. A autorização para a realização de serviço extraordinário, no âmbito do Poder Executivo, nas condições estabelecidas neste artigo, é de exclusiva competência do Secretário de cada pasta.</w:t>
      </w:r>
    </w:p>
    <w:p w:rsidR="00165482" w:rsidRPr="00165482" w:rsidRDefault="00165482" w:rsidP="00165482">
      <w:pPr>
        <w:pStyle w:val="Normal1"/>
        <w:spacing w:before="0" w:after="0"/>
        <w:rPr>
          <w:rFonts w:ascii="Times New Roman" w:eastAsia="Arial" w:hAnsi="Times New Roman" w:cs="Times New Roman"/>
        </w:rPr>
      </w:pPr>
    </w:p>
    <w:p w:rsidR="00165482" w:rsidRDefault="00165482" w:rsidP="00165482">
      <w:pPr>
        <w:pStyle w:val="Normal1"/>
        <w:spacing w:before="0" w:after="0"/>
        <w:jc w:val="center"/>
        <w:rPr>
          <w:rFonts w:ascii="Times New Roman" w:eastAsia="Arial" w:hAnsi="Times New Roman" w:cs="Times New Roman"/>
          <w:b/>
        </w:rPr>
      </w:pPr>
      <w:bookmarkStart w:id="13" w:name="_35nkun2" w:colFirst="0" w:colLast="0"/>
      <w:bookmarkEnd w:id="13"/>
      <w:r w:rsidRPr="00165482">
        <w:rPr>
          <w:rFonts w:ascii="Times New Roman" w:eastAsia="Arial" w:hAnsi="Times New Roman" w:cs="Times New Roman"/>
          <w:b/>
        </w:rPr>
        <w:t>Capítulo VIII - Das Alterações na Legislação Tributária</w:t>
      </w:r>
    </w:p>
    <w:p w:rsidR="00165482" w:rsidRPr="00165482" w:rsidRDefault="00165482" w:rsidP="00165482">
      <w:pPr>
        <w:pStyle w:val="Normal1"/>
        <w:spacing w:before="0" w:after="0"/>
        <w:jc w:val="center"/>
        <w:rPr>
          <w:rFonts w:ascii="Times New Roman" w:eastAsia="Arial" w:hAnsi="Times New Roman" w:cs="Times New Roman"/>
          <w:b/>
        </w:rPr>
      </w:pP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Art. 52. As receitas serão estimadas e discriminadas: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 - considerando a legislação tributária vigente até a data do envio do projeto de lei orçamentária à Câmara Municipal;</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lastRenderedPageBreak/>
        <w:t>II - considerando, se for o caso, os efeitos das alterações na legislação tributária, resultantes de projetos de lei encaminhados à Câmara Municipal até a data de apresentação da proposta orçamentária de 2020, especialmente sobre:</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 atualização da planta genérica de valores do Município;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b) revisão, atualização ou adequação da legislação sobre o Imposto Predial e Territorial Urbano, suas alíquotas, forma de cálculo, condições de pagamento, descontos e isenções, inclusive com relação à progressividade deste imposto;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c) revisão da legislação sobre o uso do solo, com redefinição dos limites da zona urbana municipal;</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d) revisão da legislação referente ao Imposto Sobre Serviços de Qualquer Natureza;</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e) revisão da legislação aplicável ao Imposto Sobre Transmissão Inter Vivos de Bens Imóveis e de Direitos Reais sobre Imóveis;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f) instituição de novas taxas pela prestação de serviços públicos e pelo exercício do poder de polícia;</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g) revisão das isenções tributárias, para atender ao interesse público e à justiça social;</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h) revisão das contribuições sociais, destinadas à seguridade social, cuja necessidade tenha sido evidenciada através de cálculo atuarial;</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i) demais incentivos e benefícios fiscais.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Art. 53. Caso não sejam aprovadas as modificações referidas no inciso II do art. 52, ou estas o sejam parcialmente, de forma a impedir a integralização dos recursos estimados, o Poder Executivo providenciará, conforme o caso, os ajustes necessários na programação da despesa, mediante Decreto.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Art. 54. O Executivo Municipal, autorizado em lei, poderá conceder ou ampliar benefício fiscal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1º A concessão ou ampliação de incentivo fiscal de natureza tributária ou não tributária, não considerado na estimativa da receita orçamentária, dependerá da realização do estudo do seu impacto orçamentário e financeiro e somente entrará em vigor se adotadas, conjunta ou isoladamente, as seguintes medidas de compensação: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lastRenderedPageBreak/>
        <w:t>a) aumento de receita proveniente de elevação de alíquota, ampliação da base de cálculo, majoração ou criação de tributo ou contribuição;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b) cancelamento, durante o período em que vigorar o benefício, de despesas em valor equivalente.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 2º Em 2020, poderá ser considerado como aumento permanente de receita, para efeito do disposto neste artigo, o acréscimo que for observado na arrecadação dos tributos que são objeto de transferência constitucional, com base nos artigos 157 e 158 da Constituição Federal, em percentual que supere a variação do Índice Nacional de Preços ao Consumidor Amplo calculado pela Fundação Instituto Brasileiro de Geografia e Estatística - IBGE.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3º Não se sujeita às regras do §1º a homologação de pedidos de isenção, remissão ou anistia apresentados com base na legislação municipal preexistente.</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Art. 55.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rsidR="00165482" w:rsidRPr="00165482" w:rsidRDefault="00165482" w:rsidP="00165482">
      <w:pPr>
        <w:pStyle w:val="Normal1"/>
        <w:spacing w:before="0" w:after="0"/>
        <w:rPr>
          <w:rFonts w:ascii="Times New Roman" w:eastAsia="Arial" w:hAnsi="Times New Roman" w:cs="Times New Roman"/>
        </w:rPr>
      </w:pPr>
    </w:p>
    <w:p w:rsidR="00165482" w:rsidRDefault="00165482" w:rsidP="00165482">
      <w:pPr>
        <w:pStyle w:val="Normal1"/>
        <w:spacing w:before="0" w:after="0"/>
        <w:jc w:val="center"/>
        <w:rPr>
          <w:rFonts w:ascii="Times New Roman" w:eastAsia="Arial" w:hAnsi="Times New Roman" w:cs="Times New Roman"/>
          <w:b/>
        </w:rPr>
      </w:pPr>
      <w:bookmarkStart w:id="14" w:name="_1ksv4uv" w:colFirst="0" w:colLast="0"/>
      <w:bookmarkEnd w:id="14"/>
      <w:r w:rsidRPr="00165482">
        <w:rPr>
          <w:rFonts w:ascii="Times New Roman" w:eastAsia="Arial" w:hAnsi="Times New Roman" w:cs="Times New Roman"/>
          <w:b/>
        </w:rPr>
        <w:t>Capítulo IX - Das Disposições Gerais</w:t>
      </w:r>
    </w:p>
    <w:p w:rsidR="00165482" w:rsidRPr="00165482" w:rsidRDefault="00165482" w:rsidP="00165482">
      <w:pPr>
        <w:pStyle w:val="Normal1"/>
        <w:spacing w:before="0" w:after="0"/>
        <w:jc w:val="center"/>
        <w:rPr>
          <w:rFonts w:ascii="Times New Roman" w:eastAsia="Arial" w:hAnsi="Times New Roman" w:cs="Times New Roman"/>
          <w:b/>
        </w:rPr>
      </w:pP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Art. 56. Para fins de atendimento ao disposto no art. 62 da LC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Parágrafo único. A Lei Orçamentária anual, ou seus créditos adicionais, deverão contemplar recursos orçamentários suficientes para o atendimento das despesas de que trata o </w:t>
      </w:r>
      <w:r w:rsidRPr="00165482">
        <w:rPr>
          <w:rFonts w:ascii="Times New Roman" w:eastAsia="Arial" w:hAnsi="Times New Roman" w:cs="Times New Roman"/>
          <w:i/>
        </w:rPr>
        <w:t>caput</w:t>
      </w:r>
      <w:r w:rsidRPr="00165482">
        <w:rPr>
          <w:rFonts w:ascii="Times New Roman" w:eastAsia="Arial" w:hAnsi="Times New Roman" w:cs="Times New Roman"/>
        </w:rPr>
        <w:t xml:space="preserve"> deste artigo.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lastRenderedPageBreak/>
        <w:t xml:space="preserve">Art. 57. As emendas ao projeto de lei orçamentária ou aos projetos de lei que a modifiquem deverão ser compatíveis com os programas e objetivos da Lei Municipal n. 2684/2017 e 2685/2017 com as diretrizes, disposições, prioridades e metas desta Lei.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1º Não serão admitidas, com a ressalva do inciso III do § 3º do art. 166 da Constituição Federal, as emendas que incidam sobre:</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 pessoal e encargos sociais e</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b) serviço da dívida.</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2º Também não serão admitidas as emendas que acarretem a alteração dos limites constitucionais previstos para os gastos com a manutenção e desenvolvimento do ensino e com as ações e serviços públicos de saúde.</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3º As emendas ao projeto de lei de orçamento anual deverão preservar, ainda, a prioridade das dotações destinadas ao pagamento de sentenças judiciais e outras despesas obrigatórias, assim entendidas aquelas com legislação ou norma específica; despesas financiadas com recursos vinculados e recursos para compor a contrapartida municipal de operações de crédito.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 4º as emendas que adicionarem recursos a título de subvenções, auxílios e contribuições a serem realizadas pelo Município, somente serão executadas se a entidade beneficiada atender, no que </w:t>
      </w:r>
      <w:proofErr w:type="gramStart"/>
      <w:r w:rsidRPr="00165482">
        <w:rPr>
          <w:rFonts w:ascii="Times New Roman" w:eastAsia="Arial" w:hAnsi="Times New Roman" w:cs="Times New Roman"/>
        </w:rPr>
        <w:t>couber</w:t>
      </w:r>
      <w:proofErr w:type="gramEnd"/>
      <w:r w:rsidRPr="00165482">
        <w:rPr>
          <w:rFonts w:ascii="Times New Roman" w:eastAsia="Arial" w:hAnsi="Times New Roman" w:cs="Times New Roman"/>
        </w:rPr>
        <w:t>, as disposições da Seção V desta Lei.</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5º Para fins do disposto no art. 166, § 8º, da Constituição Federal, serão levados à reserva de contingência referida no inciso I do art. 14 os recursos que, em decorrência de veto, emenda ou rejeição do projeto da Lei Orçamentária Anual de 2020, ficarem sem despesas correspondentes.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6º Para o suporte de dotação para a Despesa foi considerado um valor estimado de R$1.500.000,00 decorrentes de superávit de exercícios anteriores, tem como referência o boletim de Caixa n. 127/2019, de 30/07/2019. Valor este que poderá ser utilizado em 2020, conforme § 2º, do Art. 6º, da Lei 4.320/1964. Bem assim foram considerados créditos a receber de entidades Estaduais e Federais. Dessa forma a previsão da Receita e da Despesa foi elevada de R$20.000.000,00 para R$21.500.000,00.</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 Art. 58. Por meio da Secretaria Municipal de Fazenda, o Poder Executivo deverá atender às solicitações encaminhadas pela Comissão de Finanças, Orçamento e Fiscalização </w:t>
      </w:r>
      <w:r w:rsidRPr="00165482">
        <w:rPr>
          <w:rFonts w:ascii="Times New Roman" w:eastAsia="Arial" w:hAnsi="Times New Roman" w:cs="Times New Roman"/>
        </w:rPr>
        <w:lastRenderedPageBreak/>
        <w:t xml:space="preserve">Financeira da Câmara Municipal, relativas a informações quantitativas e qualitativas complementares julgadas necessárias à análise da proposta orçamentária. </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 Art. 59. Em consonância com o que dispõe o § 5º do art. 166 da Constituição Federal e o art. 94 da Lei Orgânica Municipal, poderá o Prefeito enviar Mensagem à Câmara Municipal para propor modificações aos projetos de lei orçamentária enquanto não estiver concluída a votação da parte cuja alteração é proposta.</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 Art. 60. Se o projeto de lei orçamentária não for aprovado até 31 de dezembro de 2019,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 1º Excetuam-se do disposto no </w:t>
      </w:r>
      <w:r w:rsidRPr="00165482">
        <w:rPr>
          <w:rFonts w:ascii="Times New Roman" w:eastAsia="Arial" w:hAnsi="Times New Roman" w:cs="Times New Roman"/>
          <w:i/>
        </w:rPr>
        <w:t>caput</w:t>
      </w:r>
      <w:r w:rsidRPr="00165482">
        <w:rPr>
          <w:rFonts w:ascii="Times New Roman" w:eastAsia="Arial" w:hAnsi="Times New Roman" w:cs="Times New Roman"/>
        </w:rPr>
        <w:t xml:space="preserve"> deste artigo as despesas correntes nas áreas da saúde, educação e assistência social, bem como aquelas relativas ao serviço da dívida, amortização, precatórios judiciais e despesas à conta de recursos legalmente vinculados à educação, saúde e assistência social, que serão executadas segundo suas necessidades específicas e a efetiva disponibilidade de recursos.</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2º Não será interrompido o processamento de despesas com obras em andamento.</w:t>
      </w:r>
    </w:p>
    <w:p w:rsidR="00165482" w:rsidRP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 xml:space="preserve">§ 3º Enquanto não aprovada a Lei Orçamentária de 2020, os valores consignados no respectivo Projeto de Lei poderão ser utilizados para demonstrar, quando exigível, a previsão orçamentária nos procedimentos referentes à fase interna da licitação. </w:t>
      </w:r>
    </w:p>
    <w:p w:rsid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Art. 61. Esta Lei entra em vigor na data de sua publicação.</w:t>
      </w:r>
    </w:p>
    <w:p w:rsidR="00165482" w:rsidRPr="00165482" w:rsidRDefault="00165482" w:rsidP="00165482">
      <w:pPr>
        <w:pStyle w:val="Normal1"/>
        <w:spacing w:before="0" w:after="0"/>
        <w:rPr>
          <w:rFonts w:ascii="Times New Roman" w:eastAsia="Arial" w:hAnsi="Times New Roman" w:cs="Times New Roman"/>
        </w:rPr>
      </w:pPr>
    </w:p>
    <w:p w:rsidR="00165482" w:rsidRPr="00165482" w:rsidRDefault="00165482" w:rsidP="00165482">
      <w:pPr>
        <w:pStyle w:val="Normal1"/>
        <w:spacing w:before="0" w:after="0"/>
        <w:ind w:firstLine="708"/>
        <w:rPr>
          <w:rFonts w:ascii="Times New Roman" w:eastAsia="Arial" w:hAnsi="Times New Roman" w:cs="Times New Roman"/>
        </w:rPr>
      </w:pPr>
      <w:r w:rsidRPr="00165482">
        <w:rPr>
          <w:rFonts w:ascii="Times New Roman" w:eastAsia="Arial" w:hAnsi="Times New Roman" w:cs="Times New Roman"/>
        </w:rPr>
        <w:t xml:space="preserve">São Valentim, RS, </w:t>
      </w:r>
      <w:r>
        <w:rPr>
          <w:rFonts w:ascii="Times New Roman" w:eastAsia="Arial" w:hAnsi="Times New Roman" w:cs="Times New Roman"/>
        </w:rPr>
        <w:t>11</w:t>
      </w:r>
      <w:r w:rsidRPr="00165482">
        <w:rPr>
          <w:rFonts w:ascii="Times New Roman" w:eastAsia="Arial" w:hAnsi="Times New Roman" w:cs="Times New Roman"/>
        </w:rPr>
        <w:t xml:space="preserve"> </w:t>
      </w:r>
      <w:r>
        <w:rPr>
          <w:rFonts w:ascii="Times New Roman" w:eastAsia="Arial" w:hAnsi="Times New Roman" w:cs="Times New Roman"/>
        </w:rPr>
        <w:t>de setembro</w:t>
      </w:r>
      <w:r w:rsidRPr="00165482">
        <w:rPr>
          <w:rFonts w:ascii="Times New Roman" w:eastAsia="Arial" w:hAnsi="Times New Roman" w:cs="Times New Roman"/>
        </w:rPr>
        <w:t xml:space="preserve"> de 2019</w:t>
      </w:r>
      <w:r>
        <w:rPr>
          <w:rFonts w:ascii="Times New Roman" w:eastAsia="Arial" w:hAnsi="Times New Roman" w:cs="Times New Roman"/>
        </w:rPr>
        <w:t>.</w:t>
      </w:r>
    </w:p>
    <w:p w:rsidR="00165482" w:rsidRDefault="00165482" w:rsidP="00165482">
      <w:pPr>
        <w:pStyle w:val="Normal1"/>
        <w:spacing w:before="0" w:after="0"/>
        <w:rPr>
          <w:rFonts w:ascii="Times New Roman" w:eastAsia="Arial" w:hAnsi="Times New Roman" w:cs="Times New Roman"/>
        </w:rPr>
      </w:pPr>
      <w:r w:rsidRPr="00165482">
        <w:rPr>
          <w:rFonts w:ascii="Times New Roman" w:eastAsia="Arial" w:hAnsi="Times New Roman" w:cs="Times New Roman"/>
        </w:rPr>
        <w:tab/>
      </w:r>
      <w:r w:rsidRPr="00165482">
        <w:rPr>
          <w:rFonts w:ascii="Times New Roman" w:eastAsia="Arial" w:hAnsi="Times New Roman" w:cs="Times New Roman"/>
        </w:rPr>
        <w:tab/>
      </w:r>
      <w:r w:rsidRPr="00165482">
        <w:rPr>
          <w:rFonts w:ascii="Times New Roman" w:eastAsia="Arial" w:hAnsi="Times New Roman" w:cs="Times New Roman"/>
        </w:rPr>
        <w:tab/>
      </w:r>
      <w:r w:rsidRPr="00165482">
        <w:rPr>
          <w:rFonts w:ascii="Times New Roman" w:eastAsia="Arial" w:hAnsi="Times New Roman" w:cs="Times New Roman"/>
        </w:rPr>
        <w:tab/>
      </w:r>
      <w:r w:rsidRPr="00165482">
        <w:rPr>
          <w:rFonts w:ascii="Times New Roman" w:eastAsia="Arial" w:hAnsi="Times New Roman" w:cs="Times New Roman"/>
        </w:rPr>
        <w:tab/>
      </w:r>
    </w:p>
    <w:p w:rsidR="00165482" w:rsidRDefault="00165482" w:rsidP="00165482">
      <w:pPr>
        <w:pStyle w:val="Normal1"/>
        <w:spacing w:before="0" w:after="0"/>
        <w:jc w:val="center"/>
        <w:rPr>
          <w:rFonts w:ascii="Times New Roman" w:eastAsia="Arial" w:hAnsi="Times New Roman" w:cs="Times New Roman"/>
        </w:rPr>
      </w:pPr>
      <w:r w:rsidRPr="00165482">
        <w:rPr>
          <w:rFonts w:ascii="Times New Roman" w:eastAsia="Arial" w:hAnsi="Times New Roman" w:cs="Times New Roman"/>
        </w:rPr>
        <w:t>CLEOMAR JOÃO SCANDOLARA</w:t>
      </w:r>
    </w:p>
    <w:p w:rsidR="00165482" w:rsidRPr="00165482" w:rsidRDefault="00165482" w:rsidP="00165482">
      <w:pPr>
        <w:pStyle w:val="Normal1"/>
        <w:spacing w:before="0" w:after="0"/>
        <w:jc w:val="center"/>
        <w:rPr>
          <w:rFonts w:ascii="Times New Roman" w:eastAsia="Arial" w:hAnsi="Times New Roman" w:cs="Times New Roman"/>
        </w:rPr>
      </w:pPr>
      <w:r w:rsidRPr="00165482">
        <w:rPr>
          <w:rFonts w:ascii="Times New Roman" w:eastAsia="Arial" w:hAnsi="Times New Roman" w:cs="Times New Roman"/>
        </w:rPr>
        <w:t>Prefeito Municipal</w:t>
      </w:r>
    </w:p>
    <w:p w:rsidR="00165482" w:rsidRDefault="00165482" w:rsidP="00165482">
      <w:pPr>
        <w:pStyle w:val="Recuodecorpodetexto"/>
        <w:spacing w:after="0"/>
        <w:ind w:left="0"/>
        <w:rPr>
          <w:b w:val="0"/>
          <w:sz w:val="24"/>
          <w:szCs w:val="24"/>
        </w:rPr>
      </w:pPr>
    </w:p>
    <w:p w:rsidR="00165482" w:rsidRDefault="00165482" w:rsidP="00165482">
      <w:pPr>
        <w:pStyle w:val="Recuodecorpodetexto"/>
        <w:spacing w:after="0"/>
        <w:ind w:left="0"/>
        <w:rPr>
          <w:b w:val="0"/>
          <w:sz w:val="24"/>
          <w:szCs w:val="24"/>
        </w:rPr>
      </w:pPr>
    </w:p>
    <w:p w:rsidR="00165482" w:rsidRDefault="00165482" w:rsidP="00165482">
      <w:pPr>
        <w:pStyle w:val="Recuodecorpodetexto"/>
        <w:spacing w:after="0"/>
        <w:ind w:left="0"/>
        <w:rPr>
          <w:b w:val="0"/>
          <w:sz w:val="24"/>
          <w:szCs w:val="24"/>
        </w:rPr>
      </w:pPr>
      <w:r>
        <w:rPr>
          <w:b w:val="0"/>
          <w:sz w:val="24"/>
          <w:szCs w:val="24"/>
        </w:rPr>
        <w:t>Registre-se e Publique-se</w:t>
      </w:r>
    </w:p>
    <w:p w:rsidR="00165482" w:rsidRDefault="00165482" w:rsidP="00165482">
      <w:pPr>
        <w:pStyle w:val="Recuodecorpodetexto"/>
        <w:spacing w:after="0"/>
        <w:ind w:left="0"/>
        <w:rPr>
          <w:b w:val="0"/>
          <w:sz w:val="24"/>
          <w:szCs w:val="24"/>
        </w:rPr>
      </w:pPr>
      <w:r>
        <w:rPr>
          <w:b w:val="0"/>
          <w:sz w:val="24"/>
          <w:szCs w:val="24"/>
        </w:rPr>
        <w:t>11/09/2019.</w:t>
      </w:r>
    </w:p>
    <w:p w:rsidR="00165482" w:rsidRDefault="00165482" w:rsidP="00165482">
      <w:pPr>
        <w:pStyle w:val="Recuodecorpodetexto"/>
        <w:spacing w:after="0"/>
        <w:ind w:left="0"/>
        <w:rPr>
          <w:b w:val="0"/>
          <w:sz w:val="24"/>
          <w:szCs w:val="24"/>
        </w:rPr>
      </w:pPr>
    </w:p>
    <w:p w:rsidR="00165482" w:rsidRDefault="00165482" w:rsidP="00165482">
      <w:pPr>
        <w:pStyle w:val="Recuodecorpodetexto"/>
        <w:spacing w:after="0"/>
        <w:ind w:left="0"/>
        <w:rPr>
          <w:b w:val="0"/>
          <w:sz w:val="24"/>
          <w:szCs w:val="24"/>
        </w:rPr>
      </w:pPr>
      <w:r>
        <w:rPr>
          <w:b w:val="0"/>
          <w:sz w:val="24"/>
          <w:szCs w:val="24"/>
        </w:rPr>
        <w:t>RODOLFO LORASCHE DALLA ROSA,</w:t>
      </w:r>
    </w:p>
    <w:p w:rsidR="00165482" w:rsidRPr="009848D6" w:rsidRDefault="00165482" w:rsidP="00165482">
      <w:pPr>
        <w:pStyle w:val="Recuodecorpodetexto"/>
        <w:spacing w:after="0"/>
        <w:ind w:left="0"/>
        <w:rPr>
          <w:b w:val="0"/>
          <w:sz w:val="24"/>
          <w:szCs w:val="24"/>
        </w:rPr>
      </w:pPr>
      <w:r>
        <w:rPr>
          <w:b w:val="0"/>
          <w:sz w:val="24"/>
          <w:szCs w:val="24"/>
        </w:rPr>
        <w:t>Secretário Municipal de Administração.</w:t>
      </w:r>
    </w:p>
    <w:p w:rsidR="00165482" w:rsidRPr="00165482" w:rsidRDefault="00165482" w:rsidP="00165482">
      <w:pPr>
        <w:pStyle w:val="Normal1"/>
        <w:pBdr>
          <w:top w:val="single" w:sz="36" w:space="1" w:color="000000"/>
          <w:left w:val="single" w:sz="36" w:space="4" w:color="000000"/>
          <w:bottom w:val="single" w:sz="36" w:space="1" w:color="000000"/>
          <w:right w:val="single" w:sz="36" w:space="4" w:color="000000"/>
          <w:between w:val="nil"/>
        </w:pBdr>
        <w:spacing w:before="0" w:after="0"/>
        <w:ind w:firstLine="0"/>
        <w:jc w:val="center"/>
        <w:rPr>
          <w:rFonts w:ascii="Times New Roman" w:eastAsia="Arial" w:hAnsi="Times New Roman" w:cs="Times New Roman"/>
          <w:b/>
          <w:color w:val="000000"/>
          <w:u w:val="single"/>
        </w:rPr>
      </w:pPr>
      <w:r w:rsidRPr="00165482">
        <w:rPr>
          <w:rFonts w:ascii="Times New Roman" w:eastAsia="Arial" w:hAnsi="Times New Roman" w:cs="Times New Roman"/>
          <w:b/>
          <w:color w:val="000000"/>
          <w:u w:val="single"/>
        </w:rPr>
        <w:lastRenderedPageBreak/>
        <w:t>LEI DE DIRETRIZES ORÇAMENTÁRIAS</w:t>
      </w:r>
    </w:p>
    <w:p w:rsidR="00165482" w:rsidRPr="00165482" w:rsidRDefault="00165482" w:rsidP="00165482">
      <w:pPr>
        <w:pStyle w:val="Normal1"/>
        <w:pBdr>
          <w:top w:val="single" w:sz="36" w:space="1" w:color="000000"/>
          <w:left w:val="single" w:sz="36" w:space="4" w:color="000000"/>
          <w:bottom w:val="single" w:sz="36" w:space="1" w:color="000000"/>
          <w:right w:val="single" w:sz="36" w:space="4" w:color="000000"/>
          <w:between w:val="nil"/>
        </w:pBdr>
        <w:spacing w:before="0" w:after="0"/>
        <w:ind w:firstLine="0"/>
        <w:jc w:val="center"/>
        <w:rPr>
          <w:rFonts w:ascii="Times New Roman" w:eastAsia="Arial" w:hAnsi="Times New Roman" w:cs="Times New Roman"/>
          <w:b/>
          <w:color w:val="000000"/>
          <w:u w:val="single"/>
        </w:rPr>
      </w:pPr>
      <w:r w:rsidRPr="00165482">
        <w:rPr>
          <w:rFonts w:ascii="Times New Roman" w:eastAsia="Arial" w:hAnsi="Times New Roman" w:cs="Times New Roman"/>
          <w:b/>
          <w:color w:val="000000"/>
          <w:u w:val="single"/>
        </w:rPr>
        <w:t>ANEXO DE METAS FISCAIS</w:t>
      </w:r>
    </w:p>
    <w:p w:rsidR="00165482" w:rsidRPr="00165482" w:rsidRDefault="00165482" w:rsidP="00165482">
      <w:pPr>
        <w:pStyle w:val="Normal1"/>
        <w:pBdr>
          <w:top w:val="single" w:sz="36" w:space="1" w:color="000000"/>
          <w:left w:val="single" w:sz="36" w:space="4" w:color="000000"/>
          <w:bottom w:val="single" w:sz="36" w:space="1" w:color="000000"/>
          <w:right w:val="single" w:sz="36" w:space="4" w:color="000000"/>
          <w:between w:val="nil"/>
        </w:pBdr>
        <w:spacing w:before="0" w:after="0"/>
        <w:ind w:firstLine="0"/>
        <w:jc w:val="center"/>
        <w:rPr>
          <w:rFonts w:ascii="Times New Roman" w:eastAsia="Arial" w:hAnsi="Times New Roman" w:cs="Times New Roman"/>
          <w:color w:val="000000"/>
          <w:u w:val="single"/>
        </w:rPr>
      </w:pPr>
      <w:r w:rsidRPr="00165482">
        <w:rPr>
          <w:rFonts w:ascii="Times New Roman" w:eastAsia="Arial" w:hAnsi="Times New Roman" w:cs="Times New Roman"/>
          <w:b/>
          <w:color w:val="000000"/>
        </w:rPr>
        <w:t>EXERCÍCIO DE 2020</w:t>
      </w:r>
    </w:p>
    <w:p w:rsidR="00165482" w:rsidRPr="00165482" w:rsidRDefault="00165482" w:rsidP="00165482">
      <w:pPr>
        <w:pStyle w:val="Normal1"/>
        <w:pBdr>
          <w:top w:val="single" w:sz="36" w:space="1" w:color="000000"/>
          <w:left w:val="single" w:sz="36" w:space="4" w:color="000000"/>
          <w:bottom w:val="single" w:sz="36" w:space="1" w:color="000000"/>
          <w:right w:val="single" w:sz="36" w:space="15" w:color="000000"/>
        </w:pBdr>
        <w:spacing w:before="0" w:after="0"/>
        <w:ind w:right="192" w:firstLine="0"/>
        <w:jc w:val="center"/>
        <w:rPr>
          <w:rFonts w:ascii="Times New Roman" w:eastAsia="Arial" w:hAnsi="Times New Roman" w:cs="Times New Roman"/>
          <w:b/>
          <w:i/>
        </w:rPr>
      </w:pPr>
      <w:r w:rsidRPr="00165482">
        <w:rPr>
          <w:rFonts w:ascii="Times New Roman" w:eastAsia="Arial" w:hAnsi="Times New Roman" w:cs="Times New Roman"/>
          <w:b/>
          <w:i/>
        </w:rPr>
        <w:t>ANEXO I</w:t>
      </w:r>
    </w:p>
    <w:p w:rsidR="00165482" w:rsidRPr="00165482" w:rsidRDefault="00165482" w:rsidP="00165482">
      <w:pPr>
        <w:pStyle w:val="Normal1"/>
        <w:pBdr>
          <w:top w:val="single" w:sz="36" w:space="1" w:color="000000"/>
          <w:left w:val="single" w:sz="36" w:space="4" w:color="000000"/>
          <w:bottom w:val="single" w:sz="36" w:space="1" w:color="000000"/>
          <w:right w:val="single" w:sz="36" w:space="15" w:color="000000"/>
        </w:pBdr>
        <w:spacing w:before="0" w:after="0"/>
        <w:ind w:right="192" w:firstLine="0"/>
        <w:jc w:val="center"/>
        <w:rPr>
          <w:rFonts w:ascii="Times New Roman" w:eastAsia="Arial" w:hAnsi="Times New Roman" w:cs="Times New Roman"/>
          <w:b/>
        </w:rPr>
      </w:pPr>
      <w:r w:rsidRPr="00165482">
        <w:rPr>
          <w:rFonts w:ascii="Times New Roman" w:eastAsia="Arial" w:hAnsi="Times New Roman" w:cs="Times New Roman"/>
          <w:b/>
        </w:rPr>
        <w:t>Anexo de Metas Fiscais</w:t>
      </w:r>
    </w:p>
    <w:p w:rsidR="00165482" w:rsidRPr="00165482" w:rsidRDefault="00165482" w:rsidP="00165482">
      <w:pPr>
        <w:pStyle w:val="Normal1"/>
        <w:spacing w:before="0" w:after="0"/>
        <w:jc w:val="center"/>
        <w:rPr>
          <w:rFonts w:ascii="Times New Roman" w:eastAsia="Arial" w:hAnsi="Times New Roman" w:cs="Times New Roman"/>
          <w:b/>
        </w:rPr>
      </w:pPr>
    </w:p>
    <w:p w:rsidR="00165482" w:rsidRPr="00165482" w:rsidRDefault="00165482" w:rsidP="00165482">
      <w:pPr>
        <w:pStyle w:val="Normal1"/>
        <w:spacing w:before="0" w:after="0"/>
        <w:jc w:val="center"/>
        <w:rPr>
          <w:rFonts w:ascii="Times New Roman" w:eastAsia="Arial" w:hAnsi="Times New Roman" w:cs="Times New Roman"/>
          <w:b/>
        </w:rPr>
      </w:pPr>
      <w:r w:rsidRPr="00165482">
        <w:rPr>
          <w:rFonts w:ascii="Times New Roman" w:eastAsia="Arial" w:hAnsi="Times New Roman" w:cs="Times New Roman"/>
          <w:b/>
        </w:rPr>
        <w:t>Memória e Metodologia de Cálculo das Metas Anuais de Receitas</w:t>
      </w: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r w:rsidRPr="00165482">
        <w:rPr>
          <w:rFonts w:ascii="Times New Roman" w:eastAsia="Arial" w:hAnsi="Times New Roman" w:cs="Times New Roman"/>
          <w:color w:val="000000"/>
        </w:rPr>
        <w:tab/>
        <w:t xml:space="preserve">As receitas foram estimadas para o período de 2020 a 2022 tomando-se como base a projeção para 2019. Esta revisão considerou os valores arrecadados até o final do mês de maio, as consultas e previsões sobre as transferências, convênios e as estimativas de arrecadação tributária, realizadas pela Secretaria Municipal da Fazenda. Considerou-se a meta de inflação de 4,00% ao ano (disponível em </w:t>
      </w:r>
      <w:hyperlink r:id="rId9" w:history="1">
        <w:r w:rsidRPr="00165482">
          <w:rPr>
            <w:rStyle w:val="Hyperlink"/>
            <w:rFonts w:ascii="Times New Roman" w:eastAsia="Arial" w:hAnsi="Times New Roman" w:cs="Times New Roman"/>
          </w:rPr>
          <w:t>https://www.valor.com.br/brasil/6186129/bc-ve-inflacao-de-41-em-2019-e-de-4-em-2020</w:t>
        </w:r>
      </w:hyperlink>
      <w:r w:rsidRPr="00165482">
        <w:rPr>
          <w:rFonts w:ascii="Times New Roman" w:eastAsia="Arial" w:hAnsi="Times New Roman" w:cs="Times New Roman"/>
          <w:color w:val="000000"/>
        </w:rPr>
        <w:t>)</w:t>
      </w:r>
      <w:proofErr w:type="gramStart"/>
      <w:r w:rsidRPr="00165482">
        <w:rPr>
          <w:rFonts w:ascii="Times New Roman" w:eastAsia="Arial" w:hAnsi="Times New Roman" w:cs="Times New Roman"/>
          <w:color w:val="000000"/>
        </w:rPr>
        <w:t xml:space="preserve">  </w:t>
      </w:r>
      <w:proofErr w:type="gramEnd"/>
      <w:r w:rsidRPr="00165482">
        <w:rPr>
          <w:rFonts w:ascii="Times New Roman" w:eastAsia="Arial" w:hAnsi="Times New Roman" w:cs="Times New Roman"/>
          <w:color w:val="000000"/>
        </w:rPr>
        <w:t xml:space="preserve">e um crescimento do PIB 2,78% ao ano (disponível em </w:t>
      </w:r>
      <w:hyperlink r:id="rId10" w:history="1">
        <w:r w:rsidRPr="00165482">
          <w:rPr>
            <w:rStyle w:val="Hyperlink"/>
            <w:rFonts w:ascii="Times New Roman" w:eastAsia="Arial" w:hAnsi="Times New Roman" w:cs="Times New Roman"/>
          </w:rPr>
          <w:t>https://economia.ig.com.br/2019-03-25/pib-2019-2020.html</w:t>
        </w:r>
      </w:hyperlink>
      <w:r w:rsidRPr="00165482">
        <w:rPr>
          <w:rFonts w:ascii="Times New Roman" w:eastAsia="Arial" w:hAnsi="Times New Roman" w:cs="Times New Roman"/>
          <w:color w:val="000000"/>
        </w:rPr>
        <w:t>).</w:t>
      </w: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r w:rsidRPr="00165482">
        <w:rPr>
          <w:rFonts w:ascii="Times New Roman" w:eastAsia="Arial" w:hAnsi="Times New Roman" w:cs="Times New Roman"/>
          <w:color w:val="000000"/>
        </w:rPr>
        <w:tab/>
        <w:t>O cenário macroeconômico adotado levou em conta as taxas de inflação, juros e taxas de crescimento econômico do Município, do Estado e do País, que subsidiaram as estimativas das metas.</w:t>
      </w: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r w:rsidRPr="00165482">
        <w:rPr>
          <w:rFonts w:ascii="Times New Roman" w:eastAsia="Arial" w:hAnsi="Times New Roman" w:cs="Times New Roman"/>
          <w:color w:val="000000"/>
        </w:rPr>
        <w:tab/>
        <w:t>Apresentam-se, a seguir, os critérios específicos de projeções das metas para os principais itens de receitas:</w:t>
      </w: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p>
    <w:p w:rsidR="00165482" w:rsidRPr="00165482" w:rsidRDefault="00165482" w:rsidP="00165482">
      <w:pPr>
        <w:pStyle w:val="Normal1"/>
        <w:pBdr>
          <w:top w:val="nil"/>
          <w:left w:val="nil"/>
          <w:bottom w:val="nil"/>
          <w:right w:val="nil"/>
          <w:between w:val="nil"/>
        </w:pBdr>
        <w:spacing w:before="0" w:after="0"/>
        <w:ind w:firstLine="708"/>
        <w:rPr>
          <w:rFonts w:ascii="Times New Roman" w:eastAsia="Arial" w:hAnsi="Times New Roman" w:cs="Times New Roman"/>
          <w:color w:val="000000"/>
        </w:rPr>
      </w:pPr>
      <w:r w:rsidRPr="00165482">
        <w:rPr>
          <w:rFonts w:ascii="Times New Roman" w:eastAsia="Arial" w:hAnsi="Times New Roman" w:cs="Times New Roman"/>
          <w:color w:val="000000"/>
        </w:rPr>
        <w:t>I P T U</w:t>
      </w: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r w:rsidRPr="00165482">
        <w:rPr>
          <w:rFonts w:ascii="Times New Roman" w:eastAsia="Arial" w:hAnsi="Times New Roman" w:cs="Times New Roman"/>
          <w:color w:val="000000"/>
        </w:rPr>
        <w:tab/>
        <w:t xml:space="preserve">Foram mantidas, durante o período de 2020 a 2022 as mesmas taxas de inadimplência e antecipação consideradas para 2019. Para 2020 espera-se correção semelhante </w:t>
      </w:r>
      <w:proofErr w:type="gramStart"/>
      <w:r w:rsidRPr="00165482">
        <w:rPr>
          <w:rFonts w:ascii="Times New Roman" w:eastAsia="Arial" w:hAnsi="Times New Roman" w:cs="Times New Roman"/>
          <w:color w:val="000000"/>
        </w:rPr>
        <w:t>a</w:t>
      </w:r>
      <w:proofErr w:type="gramEnd"/>
      <w:r w:rsidRPr="00165482">
        <w:rPr>
          <w:rFonts w:ascii="Times New Roman" w:eastAsia="Arial" w:hAnsi="Times New Roman" w:cs="Times New Roman"/>
          <w:color w:val="000000"/>
        </w:rPr>
        <w:t xml:space="preserve"> de 2019 uma vez que o indexador adotado pelo Município é o IGPM, que forma a Unidade Fiscal de Referência Municipal (UFRM). Considerou-se também o </w:t>
      </w:r>
      <w:r w:rsidRPr="00165482">
        <w:rPr>
          <w:rFonts w:ascii="Times New Roman" w:eastAsia="Arial" w:hAnsi="Times New Roman" w:cs="Times New Roman"/>
          <w:color w:val="000000"/>
        </w:rPr>
        <w:lastRenderedPageBreak/>
        <w:t>aumento na arrecadação do IPTU por conta da aprovação do Novo Código Tributário, Lei Municipal n. 2706/2017.</w:t>
      </w: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r w:rsidRPr="00165482">
        <w:rPr>
          <w:rFonts w:ascii="Times New Roman" w:eastAsia="Arial" w:hAnsi="Times New Roman" w:cs="Times New Roman"/>
          <w:color w:val="000000"/>
        </w:rPr>
        <w:tab/>
        <w:t xml:space="preserve">I S </w:t>
      </w:r>
      <w:proofErr w:type="spellStart"/>
      <w:r w:rsidRPr="00165482">
        <w:rPr>
          <w:rFonts w:ascii="Times New Roman" w:eastAsia="Arial" w:hAnsi="Times New Roman" w:cs="Times New Roman"/>
          <w:color w:val="000000"/>
        </w:rPr>
        <w:t>S</w:t>
      </w:r>
      <w:proofErr w:type="spellEnd"/>
      <w:r w:rsidRPr="00165482">
        <w:rPr>
          <w:rFonts w:ascii="Times New Roman" w:eastAsia="Arial" w:hAnsi="Times New Roman" w:cs="Times New Roman"/>
          <w:color w:val="000000"/>
        </w:rPr>
        <w:t xml:space="preserve"> </w:t>
      </w: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r w:rsidRPr="00165482">
        <w:rPr>
          <w:rFonts w:ascii="Times New Roman" w:eastAsia="Arial" w:hAnsi="Times New Roman" w:cs="Times New Roman"/>
          <w:color w:val="000000"/>
        </w:rPr>
        <w:tab/>
        <w:t xml:space="preserve">A maior parte deste imposto é constituída pelo </w:t>
      </w:r>
      <w:proofErr w:type="spellStart"/>
      <w:proofErr w:type="gramStart"/>
      <w:r w:rsidRPr="00165482">
        <w:rPr>
          <w:rFonts w:ascii="Times New Roman" w:eastAsia="Arial" w:hAnsi="Times New Roman" w:cs="Times New Roman"/>
          <w:color w:val="000000"/>
        </w:rPr>
        <w:t>auto-lançamento</w:t>
      </w:r>
      <w:proofErr w:type="spellEnd"/>
      <w:proofErr w:type="gramEnd"/>
      <w:r w:rsidRPr="00165482">
        <w:rPr>
          <w:rFonts w:ascii="Times New Roman" w:eastAsia="Arial" w:hAnsi="Times New Roman" w:cs="Times New Roman"/>
          <w:color w:val="000000"/>
        </w:rPr>
        <w:t xml:space="preserve"> que varia em função da atividade econômica. Supôs-se uma elasticidade do PIB de 2,78% para cada ano, além da meta inflacionária do país, que deverá corrigir os preços dos bens e serviços. </w:t>
      </w: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p>
    <w:p w:rsidR="00165482" w:rsidRPr="00165482" w:rsidRDefault="00165482" w:rsidP="00165482">
      <w:pPr>
        <w:pStyle w:val="Normal1"/>
        <w:pBdr>
          <w:top w:val="nil"/>
          <w:left w:val="nil"/>
          <w:bottom w:val="nil"/>
          <w:right w:val="nil"/>
          <w:between w:val="nil"/>
        </w:pBdr>
        <w:spacing w:before="0" w:after="0"/>
        <w:ind w:firstLine="708"/>
        <w:rPr>
          <w:rFonts w:ascii="Times New Roman" w:eastAsia="Arial" w:hAnsi="Times New Roman" w:cs="Times New Roman"/>
          <w:color w:val="000000"/>
        </w:rPr>
      </w:pPr>
      <w:r w:rsidRPr="00165482">
        <w:rPr>
          <w:rFonts w:ascii="Times New Roman" w:eastAsia="Arial" w:hAnsi="Times New Roman" w:cs="Times New Roman"/>
          <w:color w:val="000000"/>
        </w:rPr>
        <w:t>I T B I</w:t>
      </w: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r w:rsidRPr="00165482">
        <w:rPr>
          <w:rFonts w:ascii="Times New Roman" w:eastAsia="Arial" w:hAnsi="Times New Roman" w:cs="Times New Roman"/>
          <w:color w:val="000000"/>
        </w:rPr>
        <w:tab/>
        <w:t xml:space="preserve">Este é um dos tributos de mais difícil previsão, pois depende do volume de atos negociais envolvendo imóveis. </w:t>
      </w:r>
      <w:proofErr w:type="gramStart"/>
      <w:r w:rsidRPr="00165482">
        <w:rPr>
          <w:rFonts w:ascii="Times New Roman" w:eastAsia="Arial" w:hAnsi="Times New Roman" w:cs="Times New Roman"/>
          <w:color w:val="000000"/>
        </w:rPr>
        <w:t>Nos baseamos</w:t>
      </w:r>
      <w:proofErr w:type="gramEnd"/>
      <w:r w:rsidRPr="00165482">
        <w:rPr>
          <w:rFonts w:ascii="Times New Roman" w:eastAsia="Arial" w:hAnsi="Times New Roman" w:cs="Times New Roman"/>
          <w:color w:val="000000"/>
        </w:rPr>
        <w:t>, na média dos últimos 12 meses, e atribuímos apenas a correção pelos índices de previsão inflacionária.</w:t>
      </w: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p>
    <w:p w:rsidR="00165482" w:rsidRPr="00165482" w:rsidRDefault="00165482" w:rsidP="00165482">
      <w:pPr>
        <w:pStyle w:val="Normal1"/>
        <w:pBdr>
          <w:top w:val="nil"/>
          <w:left w:val="nil"/>
          <w:bottom w:val="nil"/>
          <w:right w:val="nil"/>
          <w:between w:val="nil"/>
        </w:pBdr>
        <w:spacing w:before="0" w:after="0"/>
        <w:ind w:firstLine="708"/>
        <w:rPr>
          <w:rFonts w:ascii="Times New Roman" w:eastAsia="Arial" w:hAnsi="Times New Roman" w:cs="Times New Roman"/>
          <w:color w:val="000000"/>
        </w:rPr>
      </w:pPr>
      <w:r w:rsidRPr="00165482">
        <w:rPr>
          <w:rFonts w:ascii="Times New Roman" w:eastAsia="Arial" w:hAnsi="Times New Roman" w:cs="Times New Roman"/>
          <w:color w:val="000000"/>
        </w:rPr>
        <w:t>F P M</w:t>
      </w: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r w:rsidRPr="00165482">
        <w:rPr>
          <w:rFonts w:ascii="Times New Roman" w:eastAsia="Arial" w:hAnsi="Times New Roman" w:cs="Times New Roman"/>
          <w:color w:val="000000"/>
        </w:rPr>
        <w:tab/>
      </w: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r w:rsidRPr="00165482">
        <w:rPr>
          <w:rFonts w:ascii="Times New Roman" w:eastAsia="Arial" w:hAnsi="Times New Roman" w:cs="Times New Roman"/>
          <w:color w:val="000000"/>
        </w:rPr>
        <w:tab/>
        <w:t>Principal fonte de receita do Município deverá crescer de conformidade com a atividade econômica do país. Para o Exercício de 2020 levamos em conta as projeções da Secretaria do Tesouro Nacional (STN).</w:t>
      </w: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r w:rsidRPr="00165482">
        <w:rPr>
          <w:rFonts w:ascii="Times New Roman" w:eastAsia="Arial" w:hAnsi="Times New Roman" w:cs="Times New Roman"/>
          <w:color w:val="000000"/>
        </w:rPr>
        <w:tab/>
        <w:t>Transferência Financeira do ICMS – Desoneração – Lei Complementar n. 87/96</w:t>
      </w: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r w:rsidRPr="00165482">
        <w:rPr>
          <w:rFonts w:ascii="Times New Roman" w:eastAsia="Arial" w:hAnsi="Times New Roman" w:cs="Times New Roman"/>
          <w:color w:val="000000"/>
        </w:rPr>
        <w:tab/>
        <w:t xml:space="preserve">Considerou-se que será mantido, para o período de 2020 a 2022 o mesmo valor nominal estimado para 2019 e mais o índice provisório publicado pela Secretaria da Receita Estadual. </w:t>
      </w: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r w:rsidRPr="00165482">
        <w:rPr>
          <w:rFonts w:ascii="Times New Roman" w:eastAsia="Arial" w:hAnsi="Times New Roman" w:cs="Times New Roman"/>
          <w:color w:val="000000"/>
        </w:rPr>
        <w:tab/>
        <w:t>Transferências do SUS</w:t>
      </w: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r w:rsidRPr="00165482">
        <w:rPr>
          <w:rFonts w:ascii="Times New Roman" w:eastAsia="Arial" w:hAnsi="Times New Roman" w:cs="Times New Roman"/>
          <w:color w:val="000000"/>
        </w:rPr>
        <w:tab/>
        <w:t>A Secretaria Municipal de Saúde informou os valores estimados para 2020, que foram mantidos, em termos reais, para os outros anos.</w:t>
      </w: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r w:rsidRPr="00165482">
        <w:rPr>
          <w:rFonts w:ascii="Times New Roman" w:eastAsia="Arial" w:hAnsi="Times New Roman" w:cs="Times New Roman"/>
          <w:color w:val="000000"/>
        </w:rPr>
        <w:lastRenderedPageBreak/>
        <w:tab/>
        <w:t>Transferências do FNDE</w:t>
      </w: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r w:rsidRPr="00165482">
        <w:rPr>
          <w:rFonts w:ascii="Times New Roman" w:eastAsia="Arial" w:hAnsi="Times New Roman" w:cs="Times New Roman"/>
          <w:color w:val="000000"/>
        </w:rPr>
        <w:tab/>
        <w:t>O FNDE não informou até a presente data os valores estimados para 2020, que foram mantidos, em termos reais, para os outros anos.</w:t>
      </w: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r w:rsidRPr="00165482">
        <w:rPr>
          <w:rFonts w:ascii="Times New Roman" w:eastAsia="Arial" w:hAnsi="Times New Roman" w:cs="Times New Roman"/>
          <w:color w:val="000000"/>
        </w:rPr>
        <w:tab/>
        <w:t>Transferências do FUNDEB</w:t>
      </w: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r w:rsidRPr="00165482">
        <w:rPr>
          <w:rFonts w:ascii="Times New Roman" w:eastAsia="Arial" w:hAnsi="Times New Roman" w:cs="Times New Roman"/>
          <w:color w:val="000000"/>
        </w:rPr>
        <w:tab/>
        <w:t>Foram feitas em termos do censo escolar e do valor per capta previsto pelo Ministério da Educação.</w:t>
      </w:r>
    </w:p>
    <w:p w:rsid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r w:rsidRPr="00165482">
        <w:rPr>
          <w:rFonts w:ascii="Times New Roman" w:eastAsia="Arial" w:hAnsi="Times New Roman" w:cs="Times New Roman"/>
          <w:color w:val="000000"/>
        </w:rPr>
        <w:tab/>
        <w:t>Transferências do FNAS</w:t>
      </w: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r w:rsidRPr="00165482">
        <w:rPr>
          <w:rFonts w:ascii="Times New Roman" w:eastAsia="Arial" w:hAnsi="Times New Roman" w:cs="Times New Roman"/>
          <w:color w:val="000000"/>
        </w:rPr>
        <w:tab/>
        <w:t>A Secretaria Municipal de Assistência Social informou valores estimados para 2020, que foram mantidos, em termos reais, para os outros.</w:t>
      </w: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r w:rsidRPr="00165482">
        <w:rPr>
          <w:rFonts w:ascii="Times New Roman" w:eastAsia="Arial" w:hAnsi="Times New Roman" w:cs="Times New Roman"/>
          <w:color w:val="000000"/>
        </w:rPr>
        <w:tab/>
        <w:t>Dos Créditos a Receber e Superávit dos Exercícios Anteriores</w:t>
      </w: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r w:rsidRPr="00165482">
        <w:rPr>
          <w:rFonts w:ascii="Times New Roman" w:eastAsia="Arial" w:hAnsi="Times New Roman" w:cs="Times New Roman"/>
          <w:color w:val="000000"/>
        </w:rPr>
        <w:tab/>
        <w:t>Para o suporte de dotação para a Despesa foi considerado um valor estimado de R$1.500.000,00 decorrentes de superávit de exercícios anteriores, tem como referência o boletim de Caixa n. 127/2019, de 30/07/2019. Valor este que poderá ser utilizado em 2020, conforme § 2º, do Art. 6º, da Lei 4.320/1964. Bem assim foram considerados créditos a receber de entidades Estaduais e Federais. Dessa forma a previsão da Receita e da Despesa foi elevada de R$20.000.000,00 para R$21.500.000,00.</w:t>
      </w: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p>
    <w:p w:rsidR="00165482" w:rsidRPr="00165482" w:rsidRDefault="00165482" w:rsidP="00165482">
      <w:pPr>
        <w:pStyle w:val="Normal1"/>
        <w:pBdr>
          <w:top w:val="single" w:sz="36" w:space="1" w:color="000000"/>
          <w:left w:val="single" w:sz="36" w:space="4" w:color="000000"/>
          <w:bottom w:val="single" w:sz="36" w:space="1" w:color="000000"/>
          <w:right w:val="single" w:sz="36" w:space="4" w:color="000000"/>
          <w:between w:val="nil"/>
        </w:pBdr>
        <w:spacing w:before="0" w:after="0"/>
        <w:ind w:firstLine="0"/>
        <w:jc w:val="center"/>
        <w:rPr>
          <w:rFonts w:ascii="Times New Roman" w:eastAsia="Arial" w:hAnsi="Times New Roman" w:cs="Times New Roman"/>
          <w:b/>
          <w:color w:val="000000"/>
          <w:u w:val="single"/>
        </w:rPr>
      </w:pPr>
      <w:r w:rsidRPr="00165482">
        <w:rPr>
          <w:rFonts w:ascii="Times New Roman" w:eastAsia="Arial" w:hAnsi="Times New Roman" w:cs="Times New Roman"/>
          <w:b/>
          <w:color w:val="000000"/>
          <w:u w:val="single"/>
        </w:rPr>
        <w:lastRenderedPageBreak/>
        <w:t>LEI DE DIRETRIZES ORÇAMENTÁRIAS</w:t>
      </w:r>
    </w:p>
    <w:p w:rsidR="00165482" w:rsidRPr="00165482" w:rsidRDefault="00165482" w:rsidP="00165482">
      <w:pPr>
        <w:pStyle w:val="Normal1"/>
        <w:pBdr>
          <w:top w:val="single" w:sz="36" w:space="1" w:color="000000"/>
          <w:left w:val="single" w:sz="36" w:space="4" w:color="000000"/>
          <w:bottom w:val="single" w:sz="36" w:space="1" w:color="000000"/>
          <w:right w:val="single" w:sz="36" w:space="4" w:color="000000"/>
          <w:between w:val="nil"/>
        </w:pBdr>
        <w:spacing w:before="0" w:after="0"/>
        <w:ind w:firstLine="0"/>
        <w:jc w:val="center"/>
        <w:rPr>
          <w:rFonts w:ascii="Times New Roman" w:eastAsia="Arial" w:hAnsi="Times New Roman" w:cs="Times New Roman"/>
          <w:b/>
          <w:color w:val="000000"/>
          <w:u w:val="single"/>
        </w:rPr>
      </w:pPr>
      <w:r w:rsidRPr="00165482">
        <w:rPr>
          <w:rFonts w:ascii="Times New Roman" w:eastAsia="Arial" w:hAnsi="Times New Roman" w:cs="Times New Roman"/>
          <w:b/>
          <w:color w:val="000000"/>
          <w:u w:val="single"/>
        </w:rPr>
        <w:t>RISCOS FISCAIS</w:t>
      </w:r>
    </w:p>
    <w:p w:rsidR="00165482" w:rsidRPr="00165482" w:rsidRDefault="00165482" w:rsidP="00165482">
      <w:pPr>
        <w:pStyle w:val="Normal1"/>
        <w:pBdr>
          <w:top w:val="single" w:sz="36" w:space="1" w:color="000000"/>
          <w:left w:val="single" w:sz="36" w:space="4" w:color="000000"/>
          <w:bottom w:val="single" w:sz="36" w:space="1" w:color="000000"/>
          <w:right w:val="single" w:sz="36" w:space="4" w:color="000000"/>
          <w:between w:val="nil"/>
        </w:pBdr>
        <w:spacing w:before="0" w:after="0"/>
        <w:ind w:firstLine="0"/>
        <w:jc w:val="center"/>
        <w:rPr>
          <w:rFonts w:ascii="Times New Roman" w:eastAsia="Arial" w:hAnsi="Times New Roman" w:cs="Times New Roman"/>
          <w:color w:val="000000"/>
          <w:u w:val="single"/>
        </w:rPr>
      </w:pPr>
      <w:r w:rsidRPr="00165482">
        <w:rPr>
          <w:rFonts w:ascii="Times New Roman" w:eastAsia="Arial" w:hAnsi="Times New Roman" w:cs="Times New Roman"/>
          <w:b/>
          <w:color w:val="000000"/>
        </w:rPr>
        <w:t>EXERCÍCIO DE 2020</w:t>
      </w:r>
    </w:p>
    <w:p w:rsidR="00165482" w:rsidRPr="00165482" w:rsidRDefault="00165482" w:rsidP="00165482">
      <w:pPr>
        <w:pStyle w:val="Normal1"/>
        <w:spacing w:before="0" w:after="0"/>
        <w:ind w:right="193"/>
        <w:rPr>
          <w:rFonts w:ascii="Times New Roman" w:eastAsia="Arial" w:hAnsi="Times New Roman" w:cs="Times New Roman"/>
          <w:i/>
          <w:sz w:val="8"/>
          <w:szCs w:val="16"/>
        </w:rPr>
      </w:pPr>
      <w:r w:rsidRPr="00165482">
        <w:rPr>
          <w:rFonts w:ascii="Times New Roman" w:eastAsia="Arial" w:hAnsi="Times New Roman" w:cs="Times New Roman"/>
          <w:i/>
          <w:sz w:val="8"/>
          <w:szCs w:val="16"/>
        </w:rPr>
        <w:tab/>
      </w:r>
    </w:p>
    <w:p w:rsidR="00165482" w:rsidRPr="00165482" w:rsidRDefault="00165482" w:rsidP="00165482">
      <w:pPr>
        <w:pStyle w:val="Normal1"/>
        <w:pBdr>
          <w:top w:val="single" w:sz="36" w:space="1" w:color="000000"/>
          <w:left w:val="single" w:sz="36" w:space="4" w:color="000000"/>
          <w:bottom w:val="single" w:sz="36" w:space="1" w:color="000000"/>
          <w:right w:val="single" w:sz="36" w:space="15" w:color="000000"/>
        </w:pBdr>
        <w:spacing w:before="0" w:after="0"/>
        <w:ind w:right="192" w:firstLine="708"/>
        <w:jc w:val="center"/>
        <w:rPr>
          <w:rFonts w:ascii="Times New Roman" w:eastAsia="Arial" w:hAnsi="Times New Roman" w:cs="Times New Roman"/>
          <w:b/>
          <w:i/>
        </w:rPr>
      </w:pPr>
      <w:r w:rsidRPr="00165482">
        <w:rPr>
          <w:rFonts w:ascii="Times New Roman" w:eastAsia="Arial" w:hAnsi="Times New Roman" w:cs="Times New Roman"/>
          <w:b/>
          <w:i/>
        </w:rPr>
        <w:t>ANEXO II</w:t>
      </w:r>
    </w:p>
    <w:p w:rsidR="00165482" w:rsidRPr="00165482" w:rsidRDefault="00165482" w:rsidP="00165482">
      <w:pPr>
        <w:pStyle w:val="Ttulo3"/>
        <w:spacing w:before="0" w:after="0" w:line="360" w:lineRule="auto"/>
        <w:jc w:val="center"/>
        <w:rPr>
          <w:rFonts w:ascii="Times New Roman" w:eastAsia="Arial" w:hAnsi="Times New Roman"/>
          <w:b w:val="0"/>
          <w:sz w:val="24"/>
          <w:szCs w:val="24"/>
        </w:rPr>
      </w:pPr>
    </w:p>
    <w:p w:rsidR="00165482" w:rsidRPr="00165482" w:rsidRDefault="00165482" w:rsidP="00165482">
      <w:pPr>
        <w:pStyle w:val="Ttulo3"/>
        <w:spacing w:before="0" w:after="0" w:line="360" w:lineRule="auto"/>
        <w:jc w:val="center"/>
        <w:rPr>
          <w:rFonts w:ascii="Times New Roman" w:eastAsia="Arial" w:hAnsi="Times New Roman"/>
          <w:sz w:val="24"/>
          <w:szCs w:val="24"/>
        </w:rPr>
      </w:pPr>
      <w:r w:rsidRPr="00165482">
        <w:rPr>
          <w:rFonts w:ascii="Times New Roman" w:eastAsia="Arial" w:hAnsi="Times New Roman"/>
          <w:sz w:val="24"/>
          <w:szCs w:val="24"/>
        </w:rPr>
        <w:t>Anexo de Riscos Fiscais</w:t>
      </w:r>
    </w:p>
    <w:p w:rsidR="00165482" w:rsidRPr="00165482" w:rsidRDefault="00165482" w:rsidP="00165482">
      <w:pPr>
        <w:pStyle w:val="Normal1"/>
        <w:spacing w:before="0" w:after="0"/>
        <w:jc w:val="center"/>
        <w:rPr>
          <w:rFonts w:ascii="Times New Roman" w:eastAsia="Arial" w:hAnsi="Times New Roman" w:cs="Times New Roman"/>
        </w:rPr>
      </w:pPr>
      <w:r w:rsidRPr="00165482">
        <w:rPr>
          <w:rFonts w:ascii="Times New Roman" w:eastAsia="Arial" w:hAnsi="Times New Roman" w:cs="Times New Roman"/>
        </w:rPr>
        <w:t>(Art. 4</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parágrafo 3</w:t>
      </w:r>
      <w:r w:rsidRPr="00165482">
        <w:rPr>
          <w:rFonts w:ascii="Times New Roman" w:eastAsia="Arial" w:hAnsi="Times New Roman" w:cs="Times New Roman"/>
          <w:u w:val="single"/>
          <w:vertAlign w:val="superscript"/>
        </w:rPr>
        <w:t>o</w:t>
      </w:r>
      <w:r w:rsidRPr="00165482">
        <w:rPr>
          <w:rFonts w:ascii="Times New Roman" w:eastAsia="Arial" w:hAnsi="Times New Roman" w:cs="Times New Roman"/>
        </w:rPr>
        <w:t xml:space="preserve"> da Lei Complementar n. 101, de 04/05/2000).</w:t>
      </w:r>
    </w:p>
    <w:p w:rsidR="00165482" w:rsidRPr="00165482" w:rsidRDefault="00165482" w:rsidP="00165482">
      <w:pPr>
        <w:pStyle w:val="Normal1"/>
        <w:spacing w:before="0" w:after="0"/>
        <w:rPr>
          <w:rFonts w:ascii="Times New Roman" w:eastAsia="Arial" w:hAnsi="Times New Roman" w:cs="Times New Roman"/>
        </w:rPr>
      </w:pPr>
    </w:p>
    <w:p w:rsidR="00165482" w:rsidRPr="00165482" w:rsidRDefault="00165482" w:rsidP="00165482">
      <w:pPr>
        <w:pStyle w:val="Normal1"/>
        <w:pBdr>
          <w:top w:val="nil"/>
          <w:left w:val="nil"/>
          <w:bottom w:val="nil"/>
          <w:right w:val="nil"/>
          <w:between w:val="nil"/>
        </w:pBdr>
        <w:spacing w:before="0" w:after="0"/>
        <w:ind w:firstLine="708"/>
        <w:rPr>
          <w:rFonts w:ascii="Times New Roman" w:eastAsia="Arial" w:hAnsi="Times New Roman" w:cs="Times New Roman"/>
          <w:color w:val="000000"/>
        </w:rPr>
      </w:pPr>
      <w:r w:rsidRPr="00165482">
        <w:rPr>
          <w:rFonts w:ascii="Times New Roman" w:eastAsia="Arial" w:hAnsi="Times New Roman" w:cs="Times New Roman"/>
          <w:color w:val="000000"/>
        </w:rPr>
        <w:tab/>
        <w:t>O comportamento futuro dos indicadores de Resultado Primário e Nominal, para os quais esta Lei estabelece metas por meio do Anexo de Metas Fiscais, pode vir a ser afetado por algumas ocorrências que eventualmente resultarão em redução de receitas e aumento de despesas, como segue:</w:t>
      </w:r>
    </w:p>
    <w:p w:rsidR="00165482" w:rsidRPr="00165482" w:rsidRDefault="00165482" w:rsidP="00165482">
      <w:pPr>
        <w:pStyle w:val="Normal1"/>
        <w:pBdr>
          <w:top w:val="nil"/>
          <w:left w:val="nil"/>
          <w:bottom w:val="nil"/>
          <w:right w:val="nil"/>
          <w:between w:val="nil"/>
        </w:pBdr>
        <w:spacing w:before="0" w:after="0"/>
        <w:ind w:firstLine="708"/>
        <w:rPr>
          <w:rFonts w:ascii="Times New Roman" w:eastAsia="Arial" w:hAnsi="Times New Roman" w:cs="Times New Roman"/>
          <w:color w:val="000000"/>
        </w:rPr>
      </w:pPr>
    </w:p>
    <w:p w:rsidR="00165482" w:rsidRPr="00165482" w:rsidRDefault="00165482" w:rsidP="00165482">
      <w:pPr>
        <w:pStyle w:val="Normal1"/>
        <w:pBdr>
          <w:top w:val="nil"/>
          <w:left w:val="nil"/>
          <w:bottom w:val="nil"/>
          <w:right w:val="nil"/>
          <w:between w:val="nil"/>
        </w:pBdr>
        <w:spacing w:before="0" w:after="0"/>
        <w:ind w:firstLine="708"/>
        <w:rPr>
          <w:rFonts w:ascii="Times New Roman" w:eastAsia="Arial" w:hAnsi="Times New Roman" w:cs="Times New Roman"/>
          <w:color w:val="000000"/>
        </w:rPr>
      </w:pPr>
      <w:r w:rsidRPr="00165482">
        <w:rPr>
          <w:rFonts w:ascii="Times New Roman" w:eastAsia="Arial" w:hAnsi="Times New Roman" w:cs="Times New Roman"/>
          <w:color w:val="000000"/>
        </w:rPr>
        <w:t>1 - redução da arrecadação de ICMS por consequência da frustração da última safra agrícola, e tendo em vista que a economia do Município depende essencialmente do setor primário. Salienta-se que do índice provisório publicado pela Secretaria da Receita Estadual do Rio Grande do Sul ainda não foi publicado.</w:t>
      </w:r>
    </w:p>
    <w:p w:rsidR="00165482" w:rsidRPr="00165482" w:rsidRDefault="00165482" w:rsidP="00165482">
      <w:pPr>
        <w:pStyle w:val="Normal1"/>
        <w:pBdr>
          <w:top w:val="nil"/>
          <w:left w:val="nil"/>
          <w:bottom w:val="nil"/>
          <w:right w:val="nil"/>
          <w:between w:val="nil"/>
        </w:pBdr>
        <w:spacing w:before="0" w:after="0"/>
        <w:ind w:firstLine="708"/>
        <w:rPr>
          <w:rFonts w:ascii="Times New Roman" w:eastAsia="Arial" w:hAnsi="Times New Roman" w:cs="Times New Roman"/>
          <w:color w:val="000000"/>
        </w:rPr>
      </w:pPr>
    </w:p>
    <w:p w:rsidR="00165482" w:rsidRPr="00165482" w:rsidRDefault="00165482" w:rsidP="00165482">
      <w:pPr>
        <w:pStyle w:val="Normal1"/>
        <w:pBdr>
          <w:top w:val="nil"/>
          <w:left w:val="nil"/>
          <w:bottom w:val="nil"/>
          <w:right w:val="nil"/>
          <w:between w:val="nil"/>
        </w:pBdr>
        <w:spacing w:before="0" w:after="0"/>
        <w:ind w:firstLine="708"/>
        <w:rPr>
          <w:rFonts w:ascii="Times New Roman" w:eastAsia="Arial" w:hAnsi="Times New Roman" w:cs="Times New Roman"/>
          <w:color w:val="000000"/>
        </w:rPr>
      </w:pPr>
      <w:r w:rsidRPr="00165482">
        <w:rPr>
          <w:rFonts w:ascii="Times New Roman" w:eastAsia="Arial" w:hAnsi="Times New Roman" w:cs="Times New Roman"/>
          <w:color w:val="000000"/>
        </w:rPr>
        <w:t>2 - aumento de despesas com gastos na área social, em vista do empobrecimento das famílias de desempregados ou com ocupações informais e das famílias de pequenos agricultores, situação esta agravada pela recente frustração de safra;</w:t>
      </w: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p>
    <w:p w:rsidR="00165482" w:rsidRPr="00165482" w:rsidRDefault="00165482" w:rsidP="00165482">
      <w:pPr>
        <w:pStyle w:val="Normal1"/>
        <w:pBdr>
          <w:top w:val="nil"/>
          <w:left w:val="nil"/>
          <w:bottom w:val="nil"/>
          <w:right w:val="nil"/>
          <w:between w:val="nil"/>
        </w:pBdr>
        <w:spacing w:before="0" w:after="0"/>
        <w:ind w:firstLine="708"/>
        <w:rPr>
          <w:rFonts w:ascii="Times New Roman" w:eastAsia="Arial" w:hAnsi="Times New Roman" w:cs="Times New Roman"/>
          <w:color w:val="000000"/>
        </w:rPr>
      </w:pPr>
      <w:r w:rsidRPr="00165482">
        <w:rPr>
          <w:rFonts w:ascii="Times New Roman" w:eastAsia="Arial" w:hAnsi="Times New Roman" w:cs="Times New Roman"/>
          <w:color w:val="000000"/>
        </w:rPr>
        <w:t>3 - os mesmos fatores salientados no item anterior determinam a edição de leis isentando e/ou reduzindo créditos tributários e não tributários lançados em dívida ativa, bem como subsidiando serviços prestados por máquinas e equipamentos da municipalidade, reduzindo a receita orçamentária.</w:t>
      </w: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p>
    <w:p w:rsidR="00165482" w:rsidRPr="00165482" w:rsidRDefault="00165482" w:rsidP="00165482">
      <w:pPr>
        <w:pStyle w:val="Normal1"/>
        <w:pBdr>
          <w:top w:val="nil"/>
          <w:left w:val="nil"/>
          <w:bottom w:val="nil"/>
          <w:right w:val="nil"/>
          <w:between w:val="nil"/>
        </w:pBdr>
        <w:spacing w:before="0" w:after="0"/>
        <w:ind w:firstLine="708"/>
        <w:rPr>
          <w:rFonts w:ascii="Times New Roman" w:eastAsia="Arial" w:hAnsi="Times New Roman" w:cs="Times New Roman"/>
          <w:color w:val="000000"/>
        </w:rPr>
      </w:pPr>
      <w:r w:rsidRPr="00165482">
        <w:rPr>
          <w:rFonts w:ascii="Times New Roman" w:eastAsia="Arial" w:hAnsi="Times New Roman" w:cs="Times New Roman"/>
          <w:color w:val="000000"/>
        </w:rPr>
        <w:t>4 - as despesas com manutenção de máquinas e equipamentos tendo em vista o seu envelhecimento e a dificuldade em adquirir bens novos.</w:t>
      </w:r>
    </w:p>
    <w:p w:rsidR="00165482" w:rsidRPr="00165482" w:rsidRDefault="00165482" w:rsidP="00165482">
      <w:pPr>
        <w:pStyle w:val="Normal1"/>
        <w:pBdr>
          <w:top w:val="nil"/>
          <w:left w:val="nil"/>
          <w:bottom w:val="nil"/>
          <w:right w:val="nil"/>
          <w:between w:val="nil"/>
        </w:pBdr>
        <w:spacing w:before="0" w:after="0"/>
        <w:ind w:firstLine="708"/>
        <w:rPr>
          <w:rFonts w:ascii="Times New Roman" w:eastAsia="Arial" w:hAnsi="Times New Roman" w:cs="Times New Roman"/>
          <w:color w:val="000000"/>
        </w:rPr>
      </w:pPr>
    </w:p>
    <w:p w:rsidR="00165482" w:rsidRPr="00165482" w:rsidRDefault="00165482" w:rsidP="00165482">
      <w:pPr>
        <w:pStyle w:val="Normal1"/>
        <w:pBdr>
          <w:top w:val="nil"/>
          <w:left w:val="nil"/>
          <w:bottom w:val="nil"/>
          <w:right w:val="nil"/>
          <w:between w:val="nil"/>
        </w:pBdr>
        <w:spacing w:before="0" w:after="0"/>
        <w:ind w:firstLine="708"/>
        <w:rPr>
          <w:rFonts w:ascii="Times New Roman" w:eastAsia="Arial" w:hAnsi="Times New Roman" w:cs="Times New Roman"/>
          <w:color w:val="000000"/>
        </w:rPr>
      </w:pPr>
      <w:r w:rsidRPr="00165482">
        <w:rPr>
          <w:rFonts w:ascii="Times New Roman" w:eastAsia="Arial" w:hAnsi="Times New Roman" w:cs="Times New Roman"/>
          <w:color w:val="000000"/>
        </w:rPr>
        <w:lastRenderedPageBreak/>
        <w:t>5 - passivo fiscal correspondente a débito com o INSS, referente ao não repasse dos recursos do Fundo Municipal de Aposentadoria (FMA) por ocasião da migração do Regime de Previdência Própria (RPPS), para o Regime Geral de Previdência. Existe a possibilidade eminente do INSS vir a exigir esta importância devida pelo município estima em aproximadamente R$ 1.450.000,00 (valor histórico).</w:t>
      </w: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r w:rsidRPr="00165482">
        <w:rPr>
          <w:rFonts w:ascii="Times New Roman" w:eastAsia="Arial" w:hAnsi="Times New Roman" w:cs="Times New Roman"/>
          <w:color w:val="000000"/>
        </w:rPr>
        <w:tab/>
        <w:t xml:space="preserve">5 – </w:t>
      </w:r>
      <w:proofErr w:type="gramStart"/>
      <w:r w:rsidRPr="00165482">
        <w:rPr>
          <w:rFonts w:ascii="Times New Roman" w:eastAsia="Arial" w:hAnsi="Times New Roman" w:cs="Times New Roman"/>
          <w:color w:val="000000"/>
        </w:rPr>
        <w:t>Alerta-se</w:t>
      </w:r>
      <w:proofErr w:type="gramEnd"/>
      <w:r w:rsidRPr="00165482">
        <w:rPr>
          <w:rFonts w:ascii="Times New Roman" w:eastAsia="Arial" w:hAnsi="Times New Roman" w:cs="Times New Roman"/>
          <w:color w:val="000000"/>
        </w:rPr>
        <w:t xml:space="preserve"> ainda para a existência de precatórios com sentença no valor aproximado de R$150.000,00, bem assim constam também ações trabalhistas ainda não julgadas, que também poderão resultar em precatórios, </w:t>
      </w: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p>
    <w:p w:rsidR="00165482" w:rsidRPr="00165482" w:rsidRDefault="00165482" w:rsidP="00165482">
      <w:pPr>
        <w:pStyle w:val="Normal1"/>
        <w:pBdr>
          <w:top w:val="nil"/>
          <w:left w:val="nil"/>
          <w:bottom w:val="nil"/>
          <w:right w:val="nil"/>
          <w:between w:val="nil"/>
        </w:pBdr>
        <w:spacing w:before="0" w:after="0"/>
        <w:ind w:firstLine="720"/>
        <w:rPr>
          <w:rFonts w:ascii="Times New Roman" w:eastAsia="Arial" w:hAnsi="Times New Roman" w:cs="Times New Roman"/>
          <w:color w:val="000000"/>
        </w:rPr>
      </w:pPr>
      <w:r w:rsidRPr="00165482">
        <w:rPr>
          <w:rFonts w:ascii="Times New Roman" w:eastAsia="Arial" w:hAnsi="Times New Roman" w:cs="Times New Roman"/>
          <w:color w:val="000000"/>
        </w:rPr>
        <w:t xml:space="preserve">6- </w:t>
      </w:r>
      <w:proofErr w:type="gramStart"/>
      <w:r w:rsidRPr="00165482">
        <w:rPr>
          <w:rFonts w:ascii="Times New Roman" w:eastAsia="Arial" w:hAnsi="Times New Roman" w:cs="Times New Roman"/>
          <w:color w:val="000000"/>
        </w:rPr>
        <w:t>Caso se concretizem</w:t>
      </w:r>
      <w:proofErr w:type="gramEnd"/>
      <w:r w:rsidRPr="00165482">
        <w:rPr>
          <w:rFonts w:ascii="Times New Roman" w:eastAsia="Arial" w:hAnsi="Times New Roman" w:cs="Times New Roman"/>
          <w:color w:val="000000"/>
        </w:rPr>
        <w:t>, os riscos fiscais serão atendidos com recursos da Reserva de Contingência e, sendo esta insuficiente, serão indicados, também, o excesso de arrecadação e o superávit financeiro do exercício anterior, se houver, obedecida a fonte de recursos correspondente.</w:t>
      </w:r>
    </w:p>
    <w:p w:rsidR="00165482" w:rsidRPr="00165482" w:rsidRDefault="00165482" w:rsidP="00165482">
      <w:pPr>
        <w:pStyle w:val="Normal1"/>
        <w:pBdr>
          <w:top w:val="nil"/>
          <w:left w:val="nil"/>
          <w:bottom w:val="nil"/>
          <w:right w:val="nil"/>
          <w:between w:val="nil"/>
        </w:pBdr>
        <w:spacing w:before="0" w:after="0"/>
        <w:ind w:firstLine="720"/>
        <w:rPr>
          <w:rFonts w:ascii="Times New Roman" w:eastAsia="Arial" w:hAnsi="Times New Roman" w:cs="Times New Roman"/>
          <w:color w:val="000000"/>
        </w:rPr>
      </w:pPr>
    </w:p>
    <w:p w:rsidR="00165482" w:rsidRPr="00165482" w:rsidRDefault="00165482" w:rsidP="00165482">
      <w:pPr>
        <w:pStyle w:val="Normal1"/>
        <w:pBdr>
          <w:top w:val="nil"/>
          <w:left w:val="nil"/>
          <w:bottom w:val="nil"/>
          <w:right w:val="nil"/>
          <w:between w:val="nil"/>
        </w:pBdr>
        <w:spacing w:before="0" w:after="0"/>
        <w:ind w:firstLine="720"/>
        <w:rPr>
          <w:rFonts w:ascii="Times New Roman" w:eastAsia="Arial" w:hAnsi="Times New Roman" w:cs="Times New Roman"/>
          <w:color w:val="000000"/>
        </w:rPr>
      </w:pPr>
      <w:r w:rsidRPr="00165482">
        <w:rPr>
          <w:rFonts w:ascii="Times New Roman" w:eastAsia="Arial" w:hAnsi="Times New Roman" w:cs="Times New Roman"/>
          <w:color w:val="000000"/>
        </w:rPr>
        <w:t>7- Sendo esses recursos insuficientes, o Poder Executivo poderá reduzir as dotações destinadas para investimentos, desde que não comprometidas.</w:t>
      </w: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p>
    <w:p w:rsid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color w:val="000000"/>
        </w:rPr>
      </w:pP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b/>
          <w:color w:val="000000"/>
        </w:rPr>
      </w:pP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b/>
          <w:color w:val="000000"/>
        </w:rPr>
      </w:pP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b/>
          <w:color w:val="000000"/>
        </w:rPr>
      </w:pP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b/>
          <w:color w:val="000000"/>
        </w:rPr>
      </w:pP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b/>
          <w:color w:val="000000"/>
        </w:rPr>
      </w:pP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b/>
          <w:color w:val="000000"/>
        </w:rPr>
      </w:pP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b/>
          <w:color w:val="000000"/>
        </w:rPr>
      </w:pP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b/>
          <w:color w:val="000000"/>
        </w:rPr>
      </w:pP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b/>
          <w:color w:val="000000"/>
        </w:rPr>
      </w:pP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b/>
          <w:color w:val="000000"/>
        </w:rPr>
      </w:pP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b/>
          <w:color w:val="000000"/>
        </w:rPr>
      </w:pPr>
    </w:p>
    <w:p w:rsidR="00165482" w:rsidRPr="00165482" w:rsidRDefault="00165482" w:rsidP="00165482">
      <w:pPr>
        <w:pStyle w:val="Normal1"/>
        <w:pBdr>
          <w:top w:val="nil"/>
          <w:left w:val="nil"/>
          <w:bottom w:val="nil"/>
          <w:right w:val="nil"/>
          <w:between w:val="nil"/>
        </w:pBdr>
        <w:spacing w:before="0" w:after="0"/>
        <w:ind w:firstLine="0"/>
        <w:rPr>
          <w:rFonts w:ascii="Times New Roman" w:eastAsia="Arial" w:hAnsi="Times New Roman" w:cs="Times New Roman"/>
          <w:b/>
          <w:color w:val="000000"/>
        </w:rPr>
      </w:pPr>
    </w:p>
    <w:p w:rsidR="00165482" w:rsidRPr="00165482" w:rsidRDefault="00165482" w:rsidP="00165482">
      <w:pPr>
        <w:pStyle w:val="Normal1"/>
        <w:spacing w:before="0" w:after="0"/>
        <w:ind w:firstLine="0"/>
        <w:jc w:val="center"/>
        <w:rPr>
          <w:rFonts w:ascii="Times New Roman" w:eastAsia="Arial" w:hAnsi="Times New Roman" w:cs="Times New Roman"/>
          <w:b/>
        </w:rPr>
      </w:pPr>
      <w:r w:rsidRPr="00165482">
        <w:rPr>
          <w:rFonts w:ascii="Times New Roman" w:eastAsia="Arial" w:hAnsi="Times New Roman" w:cs="Times New Roman"/>
          <w:b/>
        </w:rPr>
        <w:lastRenderedPageBreak/>
        <w:t>Justificativa ao Projeto de Lei nº 016/2019.</w:t>
      </w:r>
    </w:p>
    <w:p w:rsidR="00165482" w:rsidRPr="00165482" w:rsidRDefault="00165482" w:rsidP="00165482">
      <w:pPr>
        <w:pStyle w:val="Normal1"/>
        <w:spacing w:before="0" w:after="0"/>
        <w:ind w:firstLine="708"/>
        <w:rPr>
          <w:rFonts w:ascii="Times New Roman" w:eastAsia="Arial" w:hAnsi="Times New Roman" w:cs="Times New Roman"/>
        </w:rPr>
      </w:pPr>
    </w:p>
    <w:p w:rsidR="00165482" w:rsidRPr="00165482" w:rsidRDefault="00165482" w:rsidP="00165482">
      <w:pPr>
        <w:pStyle w:val="Normal1"/>
        <w:spacing w:before="0" w:after="0"/>
        <w:ind w:firstLine="708"/>
        <w:rPr>
          <w:rFonts w:ascii="Times New Roman" w:eastAsia="Arial" w:hAnsi="Times New Roman" w:cs="Times New Roman"/>
        </w:rPr>
      </w:pPr>
      <w:r w:rsidRPr="00165482">
        <w:rPr>
          <w:rFonts w:ascii="Times New Roman" w:eastAsia="Arial" w:hAnsi="Times New Roman" w:cs="Times New Roman"/>
        </w:rPr>
        <w:t>Senhor Presidente, Nobres Vereadores:</w:t>
      </w:r>
    </w:p>
    <w:p w:rsidR="00165482" w:rsidRPr="00165482" w:rsidRDefault="00165482" w:rsidP="00165482">
      <w:pPr>
        <w:pStyle w:val="Normal1"/>
        <w:spacing w:before="0" w:after="0"/>
        <w:rPr>
          <w:rFonts w:ascii="Times New Roman" w:eastAsia="Arial" w:hAnsi="Times New Roman" w:cs="Times New Roman"/>
        </w:rPr>
      </w:pPr>
    </w:p>
    <w:p w:rsidR="00165482" w:rsidRDefault="00165482" w:rsidP="00165482">
      <w:pPr>
        <w:pStyle w:val="Normal1"/>
        <w:spacing w:before="0" w:after="0"/>
        <w:ind w:firstLine="708"/>
        <w:rPr>
          <w:rFonts w:ascii="Times New Roman" w:eastAsia="Arial" w:hAnsi="Times New Roman" w:cs="Times New Roman"/>
        </w:rPr>
      </w:pPr>
      <w:r w:rsidRPr="00165482">
        <w:rPr>
          <w:rFonts w:ascii="Times New Roman" w:eastAsia="Arial" w:hAnsi="Times New Roman" w:cs="Times New Roman"/>
        </w:rPr>
        <w:t>Ao cumprimentá-los, aproveito o ensejo para enviar a apreciação desta Casa o presente Projeto de Lei que trata da Lei de Diretrizes Orçamentárias para o exercício financeiro de 2020.</w:t>
      </w:r>
    </w:p>
    <w:p w:rsidR="00165482" w:rsidRPr="00165482" w:rsidRDefault="00165482" w:rsidP="00165482">
      <w:pPr>
        <w:pStyle w:val="Normal1"/>
        <w:spacing w:before="0" w:after="0"/>
        <w:ind w:firstLine="708"/>
        <w:rPr>
          <w:rFonts w:ascii="Times New Roman" w:eastAsia="Arial" w:hAnsi="Times New Roman" w:cs="Times New Roman"/>
        </w:rPr>
      </w:pPr>
    </w:p>
    <w:p w:rsidR="00165482" w:rsidRDefault="00165482" w:rsidP="00165482">
      <w:pPr>
        <w:pStyle w:val="Normal1"/>
        <w:spacing w:before="0" w:after="0"/>
        <w:ind w:firstLine="708"/>
        <w:rPr>
          <w:rFonts w:ascii="Times New Roman" w:eastAsia="Arial" w:hAnsi="Times New Roman" w:cs="Times New Roman"/>
        </w:rPr>
      </w:pPr>
      <w:r w:rsidRPr="00165482">
        <w:rPr>
          <w:rFonts w:ascii="Times New Roman" w:eastAsia="Arial" w:hAnsi="Times New Roman" w:cs="Times New Roman"/>
        </w:rPr>
        <w:t>Estão previstas as prioridades desta administração para o próximo ano, levando em conta as projeções de arrecadação elaboradas pela Secretaria Municipal da Fazenda.</w:t>
      </w:r>
    </w:p>
    <w:p w:rsidR="00165482" w:rsidRPr="00165482" w:rsidRDefault="00165482" w:rsidP="00165482">
      <w:pPr>
        <w:pStyle w:val="Normal1"/>
        <w:spacing w:before="0" w:after="0"/>
        <w:ind w:firstLine="708"/>
        <w:rPr>
          <w:rFonts w:ascii="Times New Roman" w:eastAsia="Arial" w:hAnsi="Times New Roman" w:cs="Times New Roman"/>
        </w:rPr>
      </w:pPr>
    </w:p>
    <w:p w:rsidR="00165482" w:rsidRDefault="00165482" w:rsidP="00165482">
      <w:pPr>
        <w:pStyle w:val="Normal1"/>
        <w:spacing w:before="0" w:after="0"/>
        <w:ind w:firstLine="708"/>
        <w:rPr>
          <w:rFonts w:ascii="Times New Roman" w:hAnsi="Times New Roman" w:cs="Times New Roman"/>
          <w:color w:val="000000"/>
          <w:shd w:val="clear" w:color="auto" w:fill="FFFFFF"/>
        </w:rPr>
      </w:pPr>
      <w:r w:rsidRPr="00165482">
        <w:rPr>
          <w:rFonts w:ascii="Times New Roman" w:eastAsia="Arial" w:hAnsi="Times New Roman" w:cs="Times New Roman"/>
        </w:rPr>
        <w:t xml:space="preserve">Observa-se que </w:t>
      </w:r>
      <w:r w:rsidRPr="00165482">
        <w:rPr>
          <w:rFonts w:ascii="Times New Roman" w:eastAsia="Arial" w:hAnsi="Times New Roman" w:cs="Times New Roman"/>
          <w:color w:val="000000"/>
        </w:rPr>
        <w:t xml:space="preserve">para o suporte de dotação para a Despesa foi considerado um valor estimado de R$1.500.000,00 decorrentes de superávit de exercícios anteriores, tem como referência o boletim de Caixa n. 127/2019, de 30/07/2019. Valor este que poderá ser utilizado em 2020, conforme </w:t>
      </w:r>
      <w:r w:rsidRPr="00165482">
        <w:rPr>
          <w:rFonts w:ascii="Times New Roman" w:hAnsi="Times New Roman" w:cs="Times New Roman"/>
          <w:color w:val="000000"/>
          <w:shd w:val="clear" w:color="auto" w:fill="FFFFFF"/>
        </w:rPr>
        <w:t>§ 2º, do Art. 6</w:t>
      </w:r>
      <w:r w:rsidRPr="00165482">
        <w:rPr>
          <w:rFonts w:ascii="Times New Roman" w:hAnsi="Times New Roman" w:cs="Times New Roman"/>
          <w:color w:val="000000"/>
          <w:u w:val="single"/>
          <w:shd w:val="clear" w:color="auto" w:fill="FFFFFF"/>
        </w:rPr>
        <w:t>º</w:t>
      </w:r>
      <w:r w:rsidRPr="00165482">
        <w:rPr>
          <w:rFonts w:ascii="Times New Roman" w:hAnsi="Times New Roman" w:cs="Times New Roman"/>
          <w:color w:val="000000"/>
          <w:shd w:val="clear" w:color="auto" w:fill="FFFFFF"/>
        </w:rPr>
        <w:t>, da Lei 4.320/1964. Bem assim foram considerados créditos a receber de entidades Estaduais e Federais. Dessa forma a previsão da Receita e da Despesa foi elevada de R$20.000.000,00 para R$21.500.000,00.</w:t>
      </w:r>
    </w:p>
    <w:p w:rsidR="00165482" w:rsidRPr="00165482" w:rsidRDefault="00165482" w:rsidP="00165482">
      <w:pPr>
        <w:pStyle w:val="Normal1"/>
        <w:spacing w:before="0" w:after="0"/>
        <w:ind w:firstLine="708"/>
        <w:rPr>
          <w:rFonts w:ascii="Times New Roman" w:eastAsia="Arial" w:hAnsi="Times New Roman" w:cs="Times New Roman"/>
        </w:rPr>
      </w:pPr>
    </w:p>
    <w:p w:rsidR="00165482" w:rsidRPr="00165482" w:rsidRDefault="00165482" w:rsidP="00165482">
      <w:pPr>
        <w:pStyle w:val="Normal1"/>
        <w:spacing w:before="0" w:after="0"/>
        <w:ind w:firstLine="708"/>
        <w:rPr>
          <w:rFonts w:ascii="Times New Roman" w:eastAsia="Arial" w:hAnsi="Times New Roman" w:cs="Times New Roman"/>
        </w:rPr>
      </w:pPr>
      <w:r w:rsidRPr="00165482">
        <w:rPr>
          <w:rFonts w:ascii="Times New Roman" w:eastAsia="Arial" w:hAnsi="Times New Roman" w:cs="Times New Roman"/>
        </w:rPr>
        <w:t>Estas são as justificativas que nos levam a enviar o presente Projeto de Lei.</w:t>
      </w:r>
    </w:p>
    <w:p w:rsidR="00165482" w:rsidRDefault="00165482" w:rsidP="00165482">
      <w:pPr>
        <w:pStyle w:val="Normal1"/>
        <w:spacing w:before="0" w:after="0"/>
        <w:ind w:firstLine="708"/>
        <w:rPr>
          <w:rFonts w:ascii="Times New Roman" w:eastAsia="Arial" w:hAnsi="Times New Roman" w:cs="Times New Roman"/>
        </w:rPr>
      </w:pPr>
      <w:r w:rsidRPr="00165482">
        <w:rPr>
          <w:rFonts w:ascii="Times New Roman" w:eastAsia="Arial" w:hAnsi="Times New Roman" w:cs="Times New Roman"/>
        </w:rPr>
        <w:t>Atenciosamente,</w:t>
      </w:r>
    </w:p>
    <w:p w:rsidR="00165482" w:rsidRPr="00165482" w:rsidRDefault="00165482" w:rsidP="00165482">
      <w:pPr>
        <w:pStyle w:val="Normal1"/>
        <w:spacing w:before="0" w:after="0"/>
        <w:ind w:firstLine="708"/>
        <w:rPr>
          <w:rFonts w:ascii="Times New Roman" w:eastAsia="Arial" w:hAnsi="Times New Roman" w:cs="Times New Roman"/>
        </w:rPr>
      </w:pPr>
    </w:p>
    <w:p w:rsidR="00165482" w:rsidRDefault="00165482" w:rsidP="00165482">
      <w:pPr>
        <w:pStyle w:val="Normal1"/>
        <w:spacing w:before="0" w:after="0"/>
        <w:ind w:firstLine="708"/>
        <w:rPr>
          <w:rFonts w:ascii="Times New Roman" w:eastAsia="Arial" w:hAnsi="Times New Roman" w:cs="Times New Roman"/>
        </w:rPr>
      </w:pPr>
      <w:r w:rsidRPr="00165482">
        <w:rPr>
          <w:rFonts w:ascii="Times New Roman" w:eastAsia="Arial" w:hAnsi="Times New Roman" w:cs="Times New Roman"/>
        </w:rPr>
        <w:t xml:space="preserve">São Valentim, RS, </w:t>
      </w:r>
      <w:r>
        <w:rPr>
          <w:rFonts w:ascii="Times New Roman" w:eastAsia="Arial" w:hAnsi="Times New Roman" w:cs="Times New Roman"/>
        </w:rPr>
        <w:t>11</w:t>
      </w:r>
      <w:r w:rsidRPr="00165482">
        <w:rPr>
          <w:rFonts w:ascii="Times New Roman" w:eastAsia="Arial" w:hAnsi="Times New Roman" w:cs="Times New Roman"/>
        </w:rPr>
        <w:t xml:space="preserve"> </w:t>
      </w:r>
      <w:r>
        <w:rPr>
          <w:rFonts w:ascii="Times New Roman" w:eastAsia="Arial" w:hAnsi="Times New Roman" w:cs="Times New Roman"/>
        </w:rPr>
        <w:t>de setembro</w:t>
      </w:r>
      <w:r w:rsidRPr="00165482">
        <w:rPr>
          <w:rFonts w:ascii="Times New Roman" w:eastAsia="Arial" w:hAnsi="Times New Roman" w:cs="Times New Roman"/>
        </w:rPr>
        <w:t xml:space="preserve"> de 2019</w:t>
      </w:r>
      <w:r>
        <w:rPr>
          <w:rFonts w:ascii="Times New Roman" w:eastAsia="Arial" w:hAnsi="Times New Roman" w:cs="Times New Roman"/>
        </w:rPr>
        <w:t>.</w:t>
      </w:r>
    </w:p>
    <w:p w:rsidR="00165482" w:rsidRDefault="00165482" w:rsidP="00165482">
      <w:pPr>
        <w:pStyle w:val="Normal1"/>
        <w:spacing w:before="0" w:after="0"/>
        <w:ind w:firstLine="708"/>
        <w:rPr>
          <w:rFonts w:ascii="Times New Roman" w:eastAsia="Arial" w:hAnsi="Times New Roman" w:cs="Times New Roman"/>
        </w:rPr>
      </w:pPr>
    </w:p>
    <w:p w:rsidR="00165482" w:rsidRPr="00165482" w:rsidRDefault="00165482" w:rsidP="00165482">
      <w:pPr>
        <w:pStyle w:val="Normal1"/>
        <w:spacing w:before="0" w:after="0"/>
        <w:ind w:firstLine="708"/>
        <w:rPr>
          <w:rFonts w:ascii="Times New Roman" w:eastAsia="Arial" w:hAnsi="Times New Roman" w:cs="Times New Roman"/>
        </w:rPr>
      </w:pPr>
    </w:p>
    <w:p w:rsidR="00165482" w:rsidRPr="00165482" w:rsidRDefault="00165482" w:rsidP="00165482">
      <w:pPr>
        <w:pStyle w:val="Normal1"/>
        <w:spacing w:before="0" w:after="0"/>
        <w:ind w:firstLine="142"/>
        <w:jc w:val="center"/>
        <w:rPr>
          <w:rFonts w:ascii="Times New Roman" w:eastAsia="Arial" w:hAnsi="Times New Roman" w:cs="Times New Roman"/>
        </w:rPr>
      </w:pPr>
    </w:p>
    <w:p w:rsidR="00165482" w:rsidRPr="00165482" w:rsidRDefault="00165482" w:rsidP="00165482">
      <w:pPr>
        <w:pStyle w:val="Normal1"/>
        <w:spacing w:before="0" w:after="0"/>
        <w:ind w:firstLine="142"/>
        <w:jc w:val="center"/>
        <w:rPr>
          <w:rFonts w:ascii="Times New Roman" w:eastAsia="Arial" w:hAnsi="Times New Roman" w:cs="Times New Roman"/>
        </w:rPr>
      </w:pPr>
      <w:r w:rsidRPr="00165482">
        <w:rPr>
          <w:rFonts w:ascii="Times New Roman" w:eastAsia="Arial" w:hAnsi="Times New Roman" w:cs="Times New Roman"/>
        </w:rPr>
        <w:t>CLEOMAR JOÃO SCANDOLARA</w:t>
      </w:r>
    </w:p>
    <w:p w:rsidR="00165482" w:rsidRPr="00165482" w:rsidRDefault="00165482" w:rsidP="00165482">
      <w:pPr>
        <w:pStyle w:val="Normal1"/>
        <w:spacing w:before="0" w:after="0"/>
        <w:ind w:firstLine="0"/>
        <w:jc w:val="center"/>
        <w:rPr>
          <w:rFonts w:ascii="Times New Roman" w:eastAsia="Arial" w:hAnsi="Times New Roman" w:cs="Times New Roman"/>
        </w:rPr>
      </w:pPr>
      <w:r w:rsidRPr="00165482">
        <w:rPr>
          <w:rFonts w:ascii="Times New Roman" w:eastAsia="Arial" w:hAnsi="Times New Roman" w:cs="Times New Roman"/>
        </w:rPr>
        <w:t>Prefeito</w:t>
      </w:r>
      <w:r>
        <w:rPr>
          <w:rFonts w:ascii="Times New Roman" w:eastAsia="Arial" w:hAnsi="Times New Roman" w:cs="Times New Roman"/>
        </w:rPr>
        <w:t xml:space="preserve"> Municipal</w:t>
      </w:r>
    </w:p>
    <w:p w:rsidR="00642EA4" w:rsidRPr="00165482" w:rsidRDefault="00642EA4" w:rsidP="00165482">
      <w:pPr>
        <w:spacing w:line="360" w:lineRule="auto"/>
        <w:ind w:right="-2" w:firstLine="1418"/>
        <w:jc w:val="both"/>
        <w:rPr>
          <w:rFonts w:ascii="Times New Roman" w:hAnsi="Times New Roman"/>
        </w:rPr>
      </w:pPr>
    </w:p>
    <w:sectPr w:rsidR="00642EA4" w:rsidRPr="00165482" w:rsidSect="00796C8F">
      <w:headerReference w:type="default" r:id="rId11"/>
      <w:footerReference w:type="default" r:id="rId12"/>
      <w:headerReference w:type="first" r:id="rId13"/>
      <w:footerReference w:type="first" r:id="rId14"/>
      <w:pgSz w:w="11907" w:h="16840" w:code="9"/>
      <w:pgMar w:top="1985" w:right="1418" w:bottom="1701" w:left="1548" w:header="397" w:footer="93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B88" w:rsidRDefault="009A6B88" w:rsidP="009F11A6">
      <w:r>
        <w:separator/>
      </w:r>
    </w:p>
  </w:endnote>
  <w:endnote w:type="continuationSeparator" w:id="0">
    <w:p w:rsidR="009A6B88" w:rsidRDefault="009A6B88" w:rsidP="009F1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 w:name="Graphite Light ATT">
    <w:altName w:val="Mistral"/>
    <w:charset w:val="00"/>
    <w:family w:val="script"/>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EKEFP+TimesNewRoman">
    <w:altName w:val="Times New Roman"/>
    <w:charset w:val="00"/>
    <w:family w:val="roman"/>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482" w:rsidRDefault="00165482" w:rsidP="00EB0436">
    <w:pPr>
      <w:pStyle w:val="Rodap"/>
      <w:spacing w:line="276" w:lineRule="auto"/>
      <w:ind w:right="360"/>
    </w:pPr>
    <w:r>
      <w:rPr>
        <w:noProof/>
      </w:rPr>
      <w:drawing>
        <wp:anchor distT="0" distB="0" distL="114300" distR="114300" simplePos="0" relativeHeight="251659264" behindDoc="0" locked="0" layoutInCell="1" allowOverlap="1">
          <wp:simplePos x="0" y="0"/>
          <wp:positionH relativeFrom="column">
            <wp:posOffset>4617085</wp:posOffset>
          </wp:positionH>
          <wp:positionV relativeFrom="paragraph">
            <wp:posOffset>3175</wp:posOffset>
          </wp:positionV>
          <wp:extent cx="1048385" cy="551815"/>
          <wp:effectExtent l="0" t="0" r="0" b="635"/>
          <wp:wrapThrough wrapText="bothSides">
            <wp:wrapPolygon edited="0">
              <wp:start x="0" y="0"/>
              <wp:lineTo x="0" y="20879"/>
              <wp:lineTo x="21194" y="20879"/>
              <wp:lineTo x="21194" y="0"/>
              <wp:lineTo x="0" y="0"/>
            </wp:wrapPolygon>
          </wp:wrapThrough>
          <wp:docPr id="3" name="Imagem 78" descr="Logomarca Prefeitura São Valentim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8" descr="Logomarca Prefeitura São Valentim 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385" cy="55181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Praça Presidente Tancredo de Almeida Neves, </w:t>
    </w:r>
    <w:proofErr w:type="gramStart"/>
    <w:r>
      <w:t>30</w:t>
    </w:r>
    <w:proofErr w:type="gramEnd"/>
  </w:p>
  <w:p w:rsidR="00165482" w:rsidRDefault="00165482" w:rsidP="00EB0436">
    <w:pPr>
      <w:pStyle w:val="Rodap"/>
      <w:spacing w:line="276" w:lineRule="auto"/>
      <w:ind w:right="360"/>
    </w:pPr>
    <w:proofErr w:type="spellStart"/>
    <w:proofErr w:type="gramStart"/>
    <w:r>
      <w:t>Cep</w:t>
    </w:r>
    <w:proofErr w:type="spellEnd"/>
    <w:proofErr w:type="gramEnd"/>
    <w:r>
      <w:t>: 99.640-000 – Centro São Valentim/RS</w:t>
    </w:r>
  </w:p>
  <w:p w:rsidR="00165482" w:rsidRDefault="00165482" w:rsidP="00EB0436">
    <w:pPr>
      <w:pStyle w:val="Rodap"/>
      <w:spacing w:line="276" w:lineRule="auto"/>
      <w:ind w:right="360"/>
    </w:pPr>
    <w:r>
      <w:t>Fones: (54) 3373-1206 / 3373-1224</w:t>
    </w:r>
    <w:r>
      <w:tab/>
      <w:t xml:space="preserve">     CNPJ: 87.613.378/0001-49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482" w:rsidRDefault="00165482" w:rsidP="00A93BA0">
    <w:pPr>
      <w:pStyle w:val="Rodap"/>
      <w:spacing w:line="276" w:lineRule="auto"/>
      <w:ind w:right="360"/>
    </w:pPr>
    <w:r>
      <w:rPr>
        <w:noProof/>
      </w:rPr>
      <w:drawing>
        <wp:anchor distT="0" distB="0" distL="114300" distR="114300" simplePos="0" relativeHeight="251657216" behindDoc="0" locked="0" layoutInCell="1" allowOverlap="1">
          <wp:simplePos x="0" y="0"/>
          <wp:positionH relativeFrom="column">
            <wp:posOffset>4617085</wp:posOffset>
          </wp:positionH>
          <wp:positionV relativeFrom="paragraph">
            <wp:posOffset>3175</wp:posOffset>
          </wp:positionV>
          <wp:extent cx="1048385" cy="551815"/>
          <wp:effectExtent l="0" t="0" r="0" b="635"/>
          <wp:wrapThrough wrapText="bothSides">
            <wp:wrapPolygon edited="0">
              <wp:start x="0" y="0"/>
              <wp:lineTo x="0" y="20879"/>
              <wp:lineTo x="21194" y="20879"/>
              <wp:lineTo x="21194" y="0"/>
              <wp:lineTo x="0" y="0"/>
            </wp:wrapPolygon>
          </wp:wrapThrough>
          <wp:docPr id="1" name="Imagem 2" descr="Logomarca Prefeitura São Valentim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marca Prefeitura São Valentim 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385" cy="55181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Praça Presidente Tancredo de Almeida Neves, </w:t>
    </w:r>
    <w:proofErr w:type="gramStart"/>
    <w:r>
      <w:t>30</w:t>
    </w:r>
    <w:proofErr w:type="gramEnd"/>
  </w:p>
  <w:p w:rsidR="00165482" w:rsidRDefault="00165482" w:rsidP="00A93BA0">
    <w:pPr>
      <w:pStyle w:val="Rodap"/>
      <w:spacing w:line="276" w:lineRule="auto"/>
      <w:ind w:right="360"/>
    </w:pPr>
    <w:proofErr w:type="spellStart"/>
    <w:proofErr w:type="gramStart"/>
    <w:r>
      <w:t>Cep</w:t>
    </w:r>
    <w:proofErr w:type="spellEnd"/>
    <w:proofErr w:type="gramEnd"/>
    <w:r>
      <w:t>: 99.640-000 – Centro São Valentim/RS</w:t>
    </w:r>
  </w:p>
  <w:p w:rsidR="00165482" w:rsidRDefault="00165482" w:rsidP="00A93BA0">
    <w:pPr>
      <w:pStyle w:val="Rodap"/>
      <w:spacing w:line="276" w:lineRule="auto"/>
      <w:ind w:right="360"/>
    </w:pPr>
    <w:r>
      <w:t>Fones: (54) 3373-1206 / 3373-1224</w:t>
    </w:r>
    <w:r>
      <w:tab/>
      <w:t xml:space="preserve">     CNPJ: 87.613.378/0001-49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B88" w:rsidRDefault="009A6B88" w:rsidP="009F11A6">
      <w:r>
        <w:separator/>
      </w:r>
    </w:p>
  </w:footnote>
  <w:footnote w:type="continuationSeparator" w:id="0">
    <w:p w:rsidR="009A6B88" w:rsidRDefault="009A6B88" w:rsidP="009F1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482" w:rsidRDefault="00165482" w:rsidP="00EB0436">
    <w:pPr>
      <w:pStyle w:val="Cabealho"/>
      <w:spacing w:line="276" w:lineRule="auto"/>
      <w:ind w:left="993" w:right="360"/>
    </w:pPr>
    <w:r>
      <w:rPr>
        <w:noProof/>
      </w:rPr>
      <w:drawing>
        <wp:anchor distT="0" distB="0" distL="114300" distR="114300" simplePos="0" relativeHeight="251658240" behindDoc="0" locked="0" layoutInCell="1" allowOverlap="1">
          <wp:simplePos x="0" y="0"/>
          <wp:positionH relativeFrom="column">
            <wp:posOffset>-295275</wp:posOffset>
          </wp:positionH>
          <wp:positionV relativeFrom="paragraph">
            <wp:posOffset>-52070</wp:posOffset>
          </wp:positionV>
          <wp:extent cx="845185" cy="905510"/>
          <wp:effectExtent l="0" t="0" r="0" b="8890"/>
          <wp:wrapThrough wrapText="bothSides">
            <wp:wrapPolygon edited="0">
              <wp:start x="0" y="0"/>
              <wp:lineTo x="0" y="21358"/>
              <wp:lineTo x="20935" y="21358"/>
              <wp:lineTo x="20935" y="0"/>
              <wp:lineTo x="0" y="0"/>
            </wp:wrapPolygon>
          </wp:wrapThrough>
          <wp:docPr id="4" name="Imagem 77"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7"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905510"/>
                  </a:xfrm>
                  <a:prstGeom prst="rect">
                    <a:avLst/>
                  </a:prstGeom>
                  <a:noFill/>
                  <a:ln>
                    <a:noFill/>
                  </a:ln>
                </pic:spPr>
              </pic:pic>
            </a:graphicData>
          </a:graphic>
          <wp14:sizeRelH relativeFrom="page">
            <wp14:pctWidth>0</wp14:pctWidth>
          </wp14:sizeRelH>
          <wp14:sizeRelV relativeFrom="page">
            <wp14:pctHeight>0</wp14:pctHeight>
          </wp14:sizeRelV>
        </wp:anchor>
      </w:drawing>
    </w:r>
    <w:r>
      <w:t>Estado do Rio Grande do Sul</w:t>
    </w:r>
  </w:p>
  <w:p w:rsidR="00165482" w:rsidRDefault="00165482" w:rsidP="00EB0436">
    <w:pPr>
      <w:pStyle w:val="Cabealho"/>
      <w:spacing w:line="276" w:lineRule="auto"/>
      <w:ind w:left="993" w:right="360"/>
      <w:rPr>
        <w:sz w:val="28"/>
        <w:szCs w:val="28"/>
      </w:rPr>
    </w:pPr>
    <w:r>
      <w:rPr>
        <w:b/>
        <w:sz w:val="28"/>
        <w:szCs w:val="28"/>
      </w:rPr>
      <w:t xml:space="preserve">PREFEITURA MUNICIPAL DE </w:t>
    </w:r>
  </w:p>
  <w:p w:rsidR="00165482" w:rsidRPr="00EB0436" w:rsidRDefault="00165482" w:rsidP="00EB0436">
    <w:pPr>
      <w:pStyle w:val="Cabealho"/>
      <w:spacing w:line="276" w:lineRule="auto"/>
      <w:ind w:left="993" w:right="360"/>
      <w:rPr>
        <w:sz w:val="56"/>
        <w:szCs w:val="56"/>
      </w:rPr>
    </w:pPr>
    <w:r>
      <w:rPr>
        <w:b/>
        <w:sz w:val="56"/>
        <w:szCs w:val="56"/>
      </w:rPr>
      <w:t>SÃO VALENTIM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482" w:rsidRDefault="00165482" w:rsidP="00A93BA0">
    <w:pPr>
      <w:pStyle w:val="Cabealho"/>
      <w:spacing w:line="276" w:lineRule="auto"/>
      <w:ind w:left="993" w:right="360"/>
    </w:pPr>
    <w:r>
      <w:rPr>
        <w:noProof/>
      </w:rPr>
      <w:drawing>
        <wp:anchor distT="0" distB="0" distL="114300" distR="114300" simplePos="0" relativeHeight="251656192" behindDoc="0" locked="0" layoutInCell="1" allowOverlap="1">
          <wp:simplePos x="0" y="0"/>
          <wp:positionH relativeFrom="column">
            <wp:posOffset>-295275</wp:posOffset>
          </wp:positionH>
          <wp:positionV relativeFrom="paragraph">
            <wp:posOffset>-52070</wp:posOffset>
          </wp:positionV>
          <wp:extent cx="845185" cy="905510"/>
          <wp:effectExtent l="0" t="0" r="0" b="8890"/>
          <wp:wrapThrough wrapText="bothSides">
            <wp:wrapPolygon edited="0">
              <wp:start x="0" y="0"/>
              <wp:lineTo x="0" y="21358"/>
              <wp:lineTo x="20935" y="21358"/>
              <wp:lineTo x="20935" y="0"/>
              <wp:lineTo x="0" y="0"/>
            </wp:wrapPolygon>
          </wp:wrapThrough>
          <wp:docPr id="2" name="Imagem 79"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9"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905510"/>
                  </a:xfrm>
                  <a:prstGeom prst="rect">
                    <a:avLst/>
                  </a:prstGeom>
                  <a:noFill/>
                  <a:ln>
                    <a:noFill/>
                  </a:ln>
                </pic:spPr>
              </pic:pic>
            </a:graphicData>
          </a:graphic>
          <wp14:sizeRelH relativeFrom="page">
            <wp14:pctWidth>0</wp14:pctWidth>
          </wp14:sizeRelH>
          <wp14:sizeRelV relativeFrom="page">
            <wp14:pctHeight>0</wp14:pctHeight>
          </wp14:sizeRelV>
        </wp:anchor>
      </w:drawing>
    </w:r>
    <w:r>
      <w:t>Estado do Rio Grande do Sul</w:t>
    </w:r>
  </w:p>
  <w:p w:rsidR="00165482" w:rsidRDefault="00165482" w:rsidP="00A93BA0">
    <w:pPr>
      <w:pStyle w:val="Cabealho"/>
      <w:spacing w:line="276" w:lineRule="auto"/>
      <w:ind w:left="993" w:right="360"/>
      <w:rPr>
        <w:sz w:val="28"/>
        <w:szCs w:val="28"/>
      </w:rPr>
    </w:pPr>
    <w:r>
      <w:rPr>
        <w:b/>
        <w:sz w:val="28"/>
        <w:szCs w:val="28"/>
      </w:rPr>
      <w:t xml:space="preserve">PREFEITURA MUNICIPAL DE </w:t>
    </w:r>
  </w:p>
  <w:p w:rsidR="00165482" w:rsidRDefault="00165482" w:rsidP="00A93BA0">
    <w:pPr>
      <w:pStyle w:val="Cabealho"/>
      <w:spacing w:line="276" w:lineRule="auto"/>
      <w:ind w:left="993" w:right="360"/>
      <w:rPr>
        <w:sz w:val="56"/>
        <w:szCs w:val="56"/>
      </w:rPr>
    </w:pPr>
    <w:r>
      <w:rPr>
        <w:b/>
        <w:sz w:val="56"/>
        <w:szCs w:val="56"/>
      </w:rPr>
      <w:t>SÃO VALENTIM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A6CF4B8"/>
    <w:lvl w:ilvl="0" w:tplc="A4A85EDA">
      <w:start w:val="35"/>
      <w:numFmt w:val="upperLetter"/>
      <w:suff w:val="nothing"/>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num w:numId="1">
    <w:abstractNumId w:val="0"/>
    <w:lvlOverride w:ilvl="0">
      <w:startOverride w:val="35"/>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5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20B"/>
    <w:rsid w:val="000044FA"/>
    <w:rsid w:val="00022C78"/>
    <w:rsid w:val="00023CD0"/>
    <w:rsid w:val="000307A0"/>
    <w:rsid w:val="000334FE"/>
    <w:rsid w:val="00034D08"/>
    <w:rsid w:val="00037FFB"/>
    <w:rsid w:val="0004419C"/>
    <w:rsid w:val="00055F98"/>
    <w:rsid w:val="00064F3D"/>
    <w:rsid w:val="0007189E"/>
    <w:rsid w:val="00072BD9"/>
    <w:rsid w:val="00075731"/>
    <w:rsid w:val="00082271"/>
    <w:rsid w:val="000870AE"/>
    <w:rsid w:val="00087A9A"/>
    <w:rsid w:val="000929C8"/>
    <w:rsid w:val="000A120C"/>
    <w:rsid w:val="000A3E61"/>
    <w:rsid w:val="000A422B"/>
    <w:rsid w:val="000B1DD7"/>
    <w:rsid w:val="000C2193"/>
    <w:rsid w:val="000D1026"/>
    <w:rsid w:val="000D5C02"/>
    <w:rsid w:val="000E07BB"/>
    <w:rsid w:val="000E6F83"/>
    <w:rsid w:val="000E7478"/>
    <w:rsid w:val="000F1E91"/>
    <w:rsid w:val="000F5F0F"/>
    <w:rsid w:val="00103964"/>
    <w:rsid w:val="00105FC3"/>
    <w:rsid w:val="00113AE0"/>
    <w:rsid w:val="00135F4C"/>
    <w:rsid w:val="00137BC8"/>
    <w:rsid w:val="00142C7E"/>
    <w:rsid w:val="00154525"/>
    <w:rsid w:val="00160D76"/>
    <w:rsid w:val="00165482"/>
    <w:rsid w:val="00176412"/>
    <w:rsid w:val="001913DB"/>
    <w:rsid w:val="001A4FC8"/>
    <w:rsid w:val="001B5576"/>
    <w:rsid w:val="001B73E4"/>
    <w:rsid w:val="001C320B"/>
    <w:rsid w:val="001D0270"/>
    <w:rsid w:val="001E11AB"/>
    <w:rsid w:val="001F076C"/>
    <w:rsid w:val="00220D05"/>
    <w:rsid w:val="00221ACA"/>
    <w:rsid w:val="0024185C"/>
    <w:rsid w:val="00243AE8"/>
    <w:rsid w:val="0024636A"/>
    <w:rsid w:val="00255859"/>
    <w:rsid w:val="00256788"/>
    <w:rsid w:val="0026103D"/>
    <w:rsid w:val="0026108C"/>
    <w:rsid w:val="00263538"/>
    <w:rsid w:val="00270377"/>
    <w:rsid w:val="00277673"/>
    <w:rsid w:val="00286561"/>
    <w:rsid w:val="002969AF"/>
    <w:rsid w:val="002A3ECA"/>
    <w:rsid w:val="002B0854"/>
    <w:rsid w:val="002B5EE6"/>
    <w:rsid w:val="002C1DEA"/>
    <w:rsid w:val="002D5EC7"/>
    <w:rsid w:val="002E1854"/>
    <w:rsid w:val="002E5E6B"/>
    <w:rsid w:val="002F05CC"/>
    <w:rsid w:val="002F4A54"/>
    <w:rsid w:val="00305C9A"/>
    <w:rsid w:val="00326BC8"/>
    <w:rsid w:val="0033625A"/>
    <w:rsid w:val="003375FC"/>
    <w:rsid w:val="00342195"/>
    <w:rsid w:val="003546A3"/>
    <w:rsid w:val="00357CD3"/>
    <w:rsid w:val="003632FA"/>
    <w:rsid w:val="0036648A"/>
    <w:rsid w:val="00376059"/>
    <w:rsid w:val="003815E3"/>
    <w:rsid w:val="00396D3D"/>
    <w:rsid w:val="003A5C64"/>
    <w:rsid w:val="003F601F"/>
    <w:rsid w:val="0040024F"/>
    <w:rsid w:val="004074D8"/>
    <w:rsid w:val="00411B61"/>
    <w:rsid w:val="004200E9"/>
    <w:rsid w:val="004214A5"/>
    <w:rsid w:val="00423F0D"/>
    <w:rsid w:val="00424BCE"/>
    <w:rsid w:val="00427E96"/>
    <w:rsid w:val="00452980"/>
    <w:rsid w:val="004563E9"/>
    <w:rsid w:val="00465ABA"/>
    <w:rsid w:val="00493F67"/>
    <w:rsid w:val="00494155"/>
    <w:rsid w:val="00497213"/>
    <w:rsid w:val="00497608"/>
    <w:rsid w:val="004A7F42"/>
    <w:rsid w:val="004B3897"/>
    <w:rsid w:val="004C7582"/>
    <w:rsid w:val="004D0074"/>
    <w:rsid w:val="004D1EBA"/>
    <w:rsid w:val="004E4179"/>
    <w:rsid w:val="004E67ED"/>
    <w:rsid w:val="004F4BBB"/>
    <w:rsid w:val="004F52D8"/>
    <w:rsid w:val="004F644F"/>
    <w:rsid w:val="00500536"/>
    <w:rsid w:val="00504591"/>
    <w:rsid w:val="00507C0A"/>
    <w:rsid w:val="00507DF4"/>
    <w:rsid w:val="0051548A"/>
    <w:rsid w:val="00530CFE"/>
    <w:rsid w:val="00536665"/>
    <w:rsid w:val="00543EEC"/>
    <w:rsid w:val="00552B9A"/>
    <w:rsid w:val="00553294"/>
    <w:rsid w:val="00567942"/>
    <w:rsid w:val="00570E97"/>
    <w:rsid w:val="00575C34"/>
    <w:rsid w:val="00581099"/>
    <w:rsid w:val="005932A7"/>
    <w:rsid w:val="00596144"/>
    <w:rsid w:val="0059636D"/>
    <w:rsid w:val="005A25B3"/>
    <w:rsid w:val="005A4D79"/>
    <w:rsid w:val="005B76C6"/>
    <w:rsid w:val="005B773D"/>
    <w:rsid w:val="005C583F"/>
    <w:rsid w:val="005D65FE"/>
    <w:rsid w:val="005E16EA"/>
    <w:rsid w:val="005E2019"/>
    <w:rsid w:val="005E7237"/>
    <w:rsid w:val="00610C73"/>
    <w:rsid w:val="00612D00"/>
    <w:rsid w:val="00613D8B"/>
    <w:rsid w:val="00634BB4"/>
    <w:rsid w:val="00641A81"/>
    <w:rsid w:val="00642EA4"/>
    <w:rsid w:val="00655707"/>
    <w:rsid w:val="00655D87"/>
    <w:rsid w:val="00657F38"/>
    <w:rsid w:val="0066256F"/>
    <w:rsid w:val="00675AAD"/>
    <w:rsid w:val="00684ECF"/>
    <w:rsid w:val="0068772B"/>
    <w:rsid w:val="00693846"/>
    <w:rsid w:val="006A1592"/>
    <w:rsid w:val="006A1EAE"/>
    <w:rsid w:val="006A42BB"/>
    <w:rsid w:val="006B14A7"/>
    <w:rsid w:val="006C03AA"/>
    <w:rsid w:val="006C38C2"/>
    <w:rsid w:val="006D2CF9"/>
    <w:rsid w:val="006E4CCF"/>
    <w:rsid w:val="006E5877"/>
    <w:rsid w:val="00702D4C"/>
    <w:rsid w:val="007118E4"/>
    <w:rsid w:val="00722F60"/>
    <w:rsid w:val="007269F5"/>
    <w:rsid w:val="00726B29"/>
    <w:rsid w:val="00727C28"/>
    <w:rsid w:val="007304BF"/>
    <w:rsid w:val="0078212D"/>
    <w:rsid w:val="00786ECF"/>
    <w:rsid w:val="00794DE3"/>
    <w:rsid w:val="00796C8F"/>
    <w:rsid w:val="007A3BAD"/>
    <w:rsid w:val="007B2AF6"/>
    <w:rsid w:val="007C6AB2"/>
    <w:rsid w:val="007D0F3C"/>
    <w:rsid w:val="007D1181"/>
    <w:rsid w:val="007D7C43"/>
    <w:rsid w:val="008021D8"/>
    <w:rsid w:val="0080374D"/>
    <w:rsid w:val="0080446C"/>
    <w:rsid w:val="008054FA"/>
    <w:rsid w:val="00811717"/>
    <w:rsid w:val="00813361"/>
    <w:rsid w:val="0082029B"/>
    <w:rsid w:val="008248BE"/>
    <w:rsid w:val="00827CA6"/>
    <w:rsid w:val="00833219"/>
    <w:rsid w:val="008358E9"/>
    <w:rsid w:val="00854C47"/>
    <w:rsid w:val="008722B1"/>
    <w:rsid w:val="008750D6"/>
    <w:rsid w:val="00875346"/>
    <w:rsid w:val="00883EA6"/>
    <w:rsid w:val="008A3731"/>
    <w:rsid w:val="008A509F"/>
    <w:rsid w:val="008D2ABF"/>
    <w:rsid w:val="008E1B47"/>
    <w:rsid w:val="008E350C"/>
    <w:rsid w:val="008E5F70"/>
    <w:rsid w:val="008F4326"/>
    <w:rsid w:val="00900F12"/>
    <w:rsid w:val="00903BFD"/>
    <w:rsid w:val="00913077"/>
    <w:rsid w:val="0092186E"/>
    <w:rsid w:val="0095118B"/>
    <w:rsid w:val="00955B9A"/>
    <w:rsid w:val="00961C1D"/>
    <w:rsid w:val="00962D57"/>
    <w:rsid w:val="00976D5C"/>
    <w:rsid w:val="00981786"/>
    <w:rsid w:val="00984C28"/>
    <w:rsid w:val="0098651A"/>
    <w:rsid w:val="009912EE"/>
    <w:rsid w:val="00996445"/>
    <w:rsid w:val="0099727F"/>
    <w:rsid w:val="009A5580"/>
    <w:rsid w:val="009A6B2E"/>
    <w:rsid w:val="009A6B88"/>
    <w:rsid w:val="009B1070"/>
    <w:rsid w:val="009C7A08"/>
    <w:rsid w:val="009D3643"/>
    <w:rsid w:val="009D4A8D"/>
    <w:rsid w:val="009D5380"/>
    <w:rsid w:val="009E1D58"/>
    <w:rsid w:val="009E32C0"/>
    <w:rsid w:val="009E3362"/>
    <w:rsid w:val="009E3FE3"/>
    <w:rsid w:val="009F0A19"/>
    <w:rsid w:val="009F11A6"/>
    <w:rsid w:val="00A13312"/>
    <w:rsid w:val="00A1416A"/>
    <w:rsid w:val="00A37559"/>
    <w:rsid w:val="00A531FD"/>
    <w:rsid w:val="00A65BC6"/>
    <w:rsid w:val="00A71391"/>
    <w:rsid w:val="00A779C3"/>
    <w:rsid w:val="00A77DDA"/>
    <w:rsid w:val="00A80A38"/>
    <w:rsid w:val="00A8243A"/>
    <w:rsid w:val="00A87A91"/>
    <w:rsid w:val="00A91213"/>
    <w:rsid w:val="00A926FC"/>
    <w:rsid w:val="00A93BA0"/>
    <w:rsid w:val="00A93C75"/>
    <w:rsid w:val="00A978C1"/>
    <w:rsid w:val="00AA28B4"/>
    <w:rsid w:val="00AA392C"/>
    <w:rsid w:val="00AC2FDA"/>
    <w:rsid w:val="00AC3A53"/>
    <w:rsid w:val="00AC3CE0"/>
    <w:rsid w:val="00AD770F"/>
    <w:rsid w:val="00AE2F7A"/>
    <w:rsid w:val="00AE7E4B"/>
    <w:rsid w:val="00AF4447"/>
    <w:rsid w:val="00B01520"/>
    <w:rsid w:val="00B12359"/>
    <w:rsid w:val="00B14312"/>
    <w:rsid w:val="00B213D2"/>
    <w:rsid w:val="00B2641C"/>
    <w:rsid w:val="00B26EFC"/>
    <w:rsid w:val="00B31902"/>
    <w:rsid w:val="00B3478E"/>
    <w:rsid w:val="00B5166F"/>
    <w:rsid w:val="00B53078"/>
    <w:rsid w:val="00B5556A"/>
    <w:rsid w:val="00B555D1"/>
    <w:rsid w:val="00B601DF"/>
    <w:rsid w:val="00B61F28"/>
    <w:rsid w:val="00B66B28"/>
    <w:rsid w:val="00B871FB"/>
    <w:rsid w:val="00B87983"/>
    <w:rsid w:val="00B87A83"/>
    <w:rsid w:val="00B97D1D"/>
    <w:rsid w:val="00BA3D6B"/>
    <w:rsid w:val="00BB0CD4"/>
    <w:rsid w:val="00BC0F0C"/>
    <w:rsid w:val="00BC2EEB"/>
    <w:rsid w:val="00BC37B7"/>
    <w:rsid w:val="00BD75B3"/>
    <w:rsid w:val="00BE0B5F"/>
    <w:rsid w:val="00BE0E50"/>
    <w:rsid w:val="00BE3D1F"/>
    <w:rsid w:val="00BE411D"/>
    <w:rsid w:val="00BE4197"/>
    <w:rsid w:val="00BE7800"/>
    <w:rsid w:val="00BE7B66"/>
    <w:rsid w:val="00C11D20"/>
    <w:rsid w:val="00C177A2"/>
    <w:rsid w:val="00C32E73"/>
    <w:rsid w:val="00C50B35"/>
    <w:rsid w:val="00C51A16"/>
    <w:rsid w:val="00C805D2"/>
    <w:rsid w:val="00C83056"/>
    <w:rsid w:val="00C84DBA"/>
    <w:rsid w:val="00C90109"/>
    <w:rsid w:val="00C90D4B"/>
    <w:rsid w:val="00C95A0C"/>
    <w:rsid w:val="00CD613C"/>
    <w:rsid w:val="00D0108C"/>
    <w:rsid w:val="00D04584"/>
    <w:rsid w:val="00D13FEE"/>
    <w:rsid w:val="00D20016"/>
    <w:rsid w:val="00D359F1"/>
    <w:rsid w:val="00D36BBB"/>
    <w:rsid w:val="00D41994"/>
    <w:rsid w:val="00D87187"/>
    <w:rsid w:val="00D93EE0"/>
    <w:rsid w:val="00DA0EAF"/>
    <w:rsid w:val="00DA1CFD"/>
    <w:rsid w:val="00DA2E1C"/>
    <w:rsid w:val="00DA3911"/>
    <w:rsid w:val="00DA3F45"/>
    <w:rsid w:val="00DB4C10"/>
    <w:rsid w:val="00DC2B11"/>
    <w:rsid w:val="00DD4C5D"/>
    <w:rsid w:val="00DD507A"/>
    <w:rsid w:val="00DE0225"/>
    <w:rsid w:val="00DE1E28"/>
    <w:rsid w:val="00DE231B"/>
    <w:rsid w:val="00DE35D2"/>
    <w:rsid w:val="00DE5D13"/>
    <w:rsid w:val="00DF1ED0"/>
    <w:rsid w:val="00E13E82"/>
    <w:rsid w:val="00E26BC2"/>
    <w:rsid w:val="00E43D8F"/>
    <w:rsid w:val="00E44D35"/>
    <w:rsid w:val="00E47C3B"/>
    <w:rsid w:val="00E554A7"/>
    <w:rsid w:val="00E55A8B"/>
    <w:rsid w:val="00E61152"/>
    <w:rsid w:val="00E67A72"/>
    <w:rsid w:val="00E73A68"/>
    <w:rsid w:val="00E80567"/>
    <w:rsid w:val="00E93C5D"/>
    <w:rsid w:val="00E965EB"/>
    <w:rsid w:val="00EB0436"/>
    <w:rsid w:val="00EB1D97"/>
    <w:rsid w:val="00EC4710"/>
    <w:rsid w:val="00EC7475"/>
    <w:rsid w:val="00EC7496"/>
    <w:rsid w:val="00EE316A"/>
    <w:rsid w:val="00EE3665"/>
    <w:rsid w:val="00EE5391"/>
    <w:rsid w:val="00EE7BC0"/>
    <w:rsid w:val="00F05AA4"/>
    <w:rsid w:val="00F258E3"/>
    <w:rsid w:val="00F26849"/>
    <w:rsid w:val="00F3187E"/>
    <w:rsid w:val="00F43C3F"/>
    <w:rsid w:val="00F67E8F"/>
    <w:rsid w:val="00F74F7D"/>
    <w:rsid w:val="00F775C9"/>
    <w:rsid w:val="00F83F3B"/>
    <w:rsid w:val="00F83F69"/>
    <w:rsid w:val="00F96D6B"/>
    <w:rsid w:val="00FA1883"/>
    <w:rsid w:val="00FA2014"/>
    <w:rsid w:val="00FA7BF4"/>
    <w:rsid w:val="00FC4FA7"/>
    <w:rsid w:val="00FC54A1"/>
    <w:rsid w:val="00FD3929"/>
    <w:rsid w:val="00FE1D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iPriority="99" w:unhideWhenUsed="0"/>
    <w:lsdException w:name="footer" w:semiHidden="0"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iPriority="99"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 Antiqua" w:hAnsi="Book Antiqua"/>
      <w:sz w:val="24"/>
      <w:szCs w:val="24"/>
    </w:rPr>
  </w:style>
  <w:style w:type="paragraph" w:styleId="Ttulo3">
    <w:name w:val="heading 3"/>
    <w:basedOn w:val="Normal"/>
    <w:next w:val="Normal"/>
    <w:link w:val="Ttulo3Char"/>
    <w:semiHidden/>
    <w:unhideWhenUsed/>
    <w:qFormat/>
    <w:rsid w:val="00C83056"/>
    <w:pPr>
      <w:keepNext/>
      <w:spacing w:before="240" w:after="60"/>
      <w:outlineLvl w:val="2"/>
    </w:pPr>
    <w:rPr>
      <w:rFonts w:ascii="Calibri Light" w:hAnsi="Calibri Light"/>
      <w:b/>
      <w:bCs/>
      <w:sz w:val="26"/>
      <w:szCs w:val="26"/>
    </w:rPr>
  </w:style>
  <w:style w:type="paragraph" w:styleId="Ttulo5">
    <w:name w:val="heading 5"/>
    <w:basedOn w:val="Normal"/>
    <w:next w:val="Normal"/>
    <w:link w:val="Ttulo5Char"/>
    <w:semiHidden/>
    <w:unhideWhenUsed/>
    <w:qFormat/>
    <w:rsid w:val="00613D8B"/>
    <w:pPr>
      <w:keepNext/>
      <w:ind w:left="2925" w:right="-398"/>
      <w:jc w:val="both"/>
      <w:outlineLvl w:val="4"/>
    </w:pPr>
    <w:rPr>
      <w:rFonts w:ascii="Graphite Light ATT" w:hAnsi="Graphite Light ATT"/>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semiHidden/>
    <w:rsid w:val="00023CD0"/>
    <w:rPr>
      <w:rFonts w:ascii="Tahoma" w:hAnsi="Tahoma" w:cs="Tahoma"/>
      <w:sz w:val="16"/>
      <w:szCs w:val="16"/>
    </w:rPr>
  </w:style>
  <w:style w:type="paragraph" w:styleId="Recuodecorpodetexto">
    <w:name w:val="Body Text Indent"/>
    <w:basedOn w:val="Normal"/>
    <w:link w:val="RecuodecorpodetextoChar"/>
    <w:rsid w:val="00B12359"/>
    <w:pPr>
      <w:spacing w:after="120"/>
      <w:ind w:left="283"/>
    </w:pPr>
    <w:rPr>
      <w:rFonts w:ascii="Times New Roman" w:hAnsi="Times New Roman"/>
      <w:b/>
      <w:sz w:val="22"/>
      <w:szCs w:val="20"/>
    </w:rPr>
  </w:style>
  <w:style w:type="character" w:styleId="Hyperlink">
    <w:name w:val="Hyperlink"/>
    <w:rsid w:val="006C03AA"/>
    <w:rPr>
      <w:color w:val="0000FF"/>
      <w:u w:val="single"/>
    </w:rPr>
  </w:style>
  <w:style w:type="paragraph" w:styleId="Cabealho">
    <w:name w:val="header"/>
    <w:basedOn w:val="Normal"/>
    <w:link w:val="CabealhoChar"/>
    <w:uiPriority w:val="99"/>
    <w:rsid w:val="009F11A6"/>
    <w:pPr>
      <w:tabs>
        <w:tab w:val="center" w:pos="4252"/>
        <w:tab w:val="right" w:pos="8504"/>
      </w:tabs>
    </w:pPr>
  </w:style>
  <w:style w:type="character" w:customStyle="1" w:styleId="CabealhoChar">
    <w:name w:val="Cabeçalho Char"/>
    <w:link w:val="Cabealho"/>
    <w:uiPriority w:val="99"/>
    <w:rsid w:val="009F11A6"/>
    <w:rPr>
      <w:rFonts w:ascii="Book Antiqua" w:hAnsi="Book Antiqua"/>
      <w:sz w:val="24"/>
      <w:szCs w:val="24"/>
    </w:rPr>
  </w:style>
  <w:style w:type="paragraph" w:styleId="Rodap">
    <w:name w:val="footer"/>
    <w:basedOn w:val="Normal"/>
    <w:link w:val="RodapChar"/>
    <w:rsid w:val="009F11A6"/>
    <w:pPr>
      <w:tabs>
        <w:tab w:val="center" w:pos="4252"/>
        <w:tab w:val="right" w:pos="8504"/>
      </w:tabs>
    </w:pPr>
  </w:style>
  <w:style w:type="character" w:customStyle="1" w:styleId="RodapChar">
    <w:name w:val="Rodapé Char"/>
    <w:link w:val="Rodap"/>
    <w:rsid w:val="009F11A6"/>
    <w:rPr>
      <w:rFonts w:ascii="Book Antiqua" w:hAnsi="Book Antiqua"/>
      <w:sz w:val="24"/>
      <w:szCs w:val="24"/>
    </w:rPr>
  </w:style>
  <w:style w:type="paragraph" w:styleId="SemEspaamento">
    <w:name w:val="No Spacing"/>
    <w:uiPriority w:val="1"/>
    <w:qFormat/>
    <w:rsid w:val="00A93BA0"/>
    <w:rPr>
      <w:rFonts w:ascii="Book Antiqua" w:hAnsi="Book Antiqua"/>
      <w:sz w:val="24"/>
      <w:szCs w:val="24"/>
    </w:rPr>
  </w:style>
  <w:style w:type="character" w:styleId="Forte">
    <w:name w:val="Strong"/>
    <w:qFormat/>
    <w:rsid w:val="00C90D4B"/>
    <w:rPr>
      <w:b/>
      <w:bCs/>
    </w:rPr>
  </w:style>
  <w:style w:type="character" w:customStyle="1" w:styleId="RecuodecorpodetextoChar">
    <w:name w:val="Recuo de corpo de texto Char"/>
    <w:link w:val="Recuodecorpodetexto"/>
    <w:rsid w:val="00DF1ED0"/>
    <w:rPr>
      <w:b/>
      <w:sz w:val="22"/>
    </w:rPr>
  </w:style>
  <w:style w:type="character" w:customStyle="1" w:styleId="Ttulo5Char">
    <w:name w:val="Título 5 Char"/>
    <w:link w:val="Ttulo5"/>
    <w:semiHidden/>
    <w:rsid w:val="00613D8B"/>
    <w:rPr>
      <w:rFonts w:ascii="Graphite Light ATT" w:hAnsi="Graphite Light ATT"/>
      <w:b/>
      <w:bCs/>
    </w:rPr>
  </w:style>
  <w:style w:type="paragraph" w:customStyle="1" w:styleId="Default">
    <w:name w:val="Default"/>
    <w:basedOn w:val="Normal"/>
    <w:rsid w:val="004F4BBB"/>
    <w:pPr>
      <w:suppressAutoHyphens/>
      <w:autoSpaceDE w:val="0"/>
    </w:pPr>
    <w:rPr>
      <w:rFonts w:ascii="CEKEFP+TimesNewRoman" w:eastAsia="CEKEFP+TimesNewRoman" w:hAnsi="CEKEFP+TimesNewRoman" w:cs="CEKEFP+TimesNewRoman"/>
      <w:color w:val="000000"/>
      <w:lang w:eastAsia="hi-IN" w:bidi="hi-IN"/>
    </w:rPr>
  </w:style>
  <w:style w:type="paragraph" w:styleId="Recuodecorpodetexto2">
    <w:name w:val="Body Text Indent 2"/>
    <w:basedOn w:val="Normal"/>
    <w:link w:val="Recuodecorpodetexto2Char"/>
    <w:unhideWhenUsed/>
    <w:rsid w:val="00675AAD"/>
    <w:pPr>
      <w:spacing w:after="120" w:line="480" w:lineRule="auto"/>
      <w:ind w:left="283"/>
    </w:pPr>
  </w:style>
  <w:style w:type="character" w:customStyle="1" w:styleId="Recuodecorpodetexto2Char">
    <w:name w:val="Recuo de corpo de texto 2 Char"/>
    <w:link w:val="Recuodecorpodetexto2"/>
    <w:rsid w:val="00675AAD"/>
    <w:rPr>
      <w:rFonts w:ascii="Book Antiqua" w:hAnsi="Book Antiqua"/>
      <w:sz w:val="24"/>
      <w:szCs w:val="24"/>
    </w:rPr>
  </w:style>
  <w:style w:type="paragraph" w:styleId="Recuodecorpodetexto3">
    <w:name w:val="Body Text Indent 3"/>
    <w:basedOn w:val="Normal"/>
    <w:link w:val="Recuodecorpodetexto3Char"/>
    <w:unhideWhenUsed/>
    <w:rsid w:val="00675AAD"/>
    <w:pPr>
      <w:spacing w:after="120"/>
      <w:ind w:left="283"/>
    </w:pPr>
    <w:rPr>
      <w:sz w:val="16"/>
      <w:szCs w:val="16"/>
    </w:rPr>
  </w:style>
  <w:style w:type="character" w:customStyle="1" w:styleId="Recuodecorpodetexto3Char">
    <w:name w:val="Recuo de corpo de texto 3 Char"/>
    <w:link w:val="Recuodecorpodetexto3"/>
    <w:rsid w:val="00675AAD"/>
    <w:rPr>
      <w:rFonts w:ascii="Book Antiqua" w:hAnsi="Book Antiqua"/>
      <w:sz w:val="16"/>
      <w:szCs w:val="16"/>
    </w:rPr>
  </w:style>
  <w:style w:type="paragraph" w:styleId="Corpodetexto">
    <w:name w:val="Body Text"/>
    <w:basedOn w:val="Normal"/>
    <w:link w:val="CorpodetextoChar"/>
    <w:uiPriority w:val="99"/>
    <w:rsid w:val="00BA3D6B"/>
    <w:pPr>
      <w:spacing w:after="120"/>
    </w:pPr>
  </w:style>
  <w:style w:type="character" w:customStyle="1" w:styleId="CorpodetextoChar">
    <w:name w:val="Corpo de texto Char"/>
    <w:link w:val="Corpodetexto"/>
    <w:uiPriority w:val="99"/>
    <w:rsid w:val="00BA3D6B"/>
    <w:rPr>
      <w:rFonts w:ascii="Book Antiqua" w:hAnsi="Book Antiqua"/>
      <w:sz w:val="24"/>
      <w:szCs w:val="24"/>
    </w:rPr>
  </w:style>
  <w:style w:type="paragraph" w:styleId="Corpodetexto3">
    <w:name w:val="Body Text 3"/>
    <w:basedOn w:val="Normal"/>
    <w:link w:val="Corpodetexto3Char"/>
    <w:rsid w:val="00A8243A"/>
    <w:pPr>
      <w:spacing w:after="120"/>
    </w:pPr>
    <w:rPr>
      <w:sz w:val="16"/>
      <w:szCs w:val="16"/>
    </w:rPr>
  </w:style>
  <w:style w:type="character" w:customStyle="1" w:styleId="Corpodetexto3Char">
    <w:name w:val="Corpo de texto 3 Char"/>
    <w:link w:val="Corpodetexto3"/>
    <w:rsid w:val="00A8243A"/>
    <w:rPr>
      <w:rFonts w:ascii="Book Antiqua" w:hAnsi="Book Antiqua"/>
      <w:sz w:val="16"/>
      <w:szCs w:val="16"/>
    </w:rPr>
  </w:style>
  <w:style w:type="paragraph" w:styleId="Textoembloco">
    <w:name w:val="Block Text"/>
    <w:basedOn w:val="Normal"/>
    <w:unhideWhenUsed/>
    <w:rsid w:val="00A8243A"/>
    <w:pPr>
      <w:ind w:left="4536" w:right="-313"/>
      <w:jc w:val="both"/>
    </w:pPr>
    <w:rPr>
      <w:rFonts w:ascii="Times New Roman" w:hAnsi="Times New Roman"/>
      <w:b/>
      <w:sz w:val="22"/>
      <w:szCs w:val="20"/>
    </w:rPr>
  </w:style>
  <w:style w:type="paragraph" w:styleId="TextosemFormatao">
    <w:name w:val="Plain Text"/>
    <w:basedOn w:val="Normal"/>
    <w:link w:val="TextosemFormataoChar"/>
    <w:unhideWhenUsed/>
    <w:rsid w:val="004E67ED"/>
    <w:rPr>
      <w:rFonts w:ascii="Courier New" w:hAnsi="Courier New"/>
      <w:sz w:val="20"/>
      <w:szCs w:val="20"/>
    </w:rPr>
  </w:style>
  <w:style w:type="character" w:customStyle="1" w:styleId="TextosemFormataoChar">
    <w:name w:val="Texto sem Formatação Char"/>
    <w:link w:val="TextosemFormatao"/>
    <w:rsid w:val="004E67ED"/>
    <w:rPr>
      <w:rFonts w:ascii="Courier New" w:hAnsi="Courier New"/>
    </w:rPr>
  </w:style>
  <w:style w:type="character" w:customStyle="1" w:styleId="highlightedsearchterm">
    <w:name w:val="highlightedsearchterm"/>
    <w:rsid w:val="005A25B3"/>
  </w:style>
  <w:style w:type="character" w:customStyle="1" w:styleId="Ttulo3Char">
    <w:name w:val="Título 3 Char"/>
    <w:link w:val="Ttulo3"/>
    <w:semiHidden/>
    <w:rsid w:val="00C83056"/>
    <w:rPr>
      <w:rFonts w:ascii="Calibri Light" w:eastAsia="Times New Roman" w:hAnsi="Calibri Light" w:cs="Times New Roman"/>
      <w:b/>
      <w:bCs/>
      <w:sz w:val="26"/>
      <w:szCs w:val="26"/>
    </w:rPr>
  </w:style>
  <w:style w:type="paragraph" w:styleId="Corpodetexto2">
    <w:name w:val="Body Text 2"/>
    <w:basedOn w:val="Normal"/>
    <w:link w:val="Corpodetexto2Char"/>
    <w:rsid w:val="00C83056"/>
    <w:pPr>
      <w:spacing w:after="120" w:line="480" w:lineRule="auto"/>
    </w:pPr>
  </w:style>
  <w:style w:type="character" w:customStyle="1" w:styleId="Corpodetexto2Char">
    <w:name w:val="Corpo de texto 2 Char"/>
    <w:link w:val="Corpodetexto2"/>
    <w:rsid w:val="00C83056"/>
    <w:rPr>
      <w:rFonts w:ascii="Book Antiqua" w:hAnsi="Book Antiqua"/>
      <w:sz w:val="24"/>
      <w:szCs w:val="24"/>
    </w:rPr>
  </w:style>
  <w:style w:type="table" w:styleId="Tabelacomgrade">
    <w:name w:val="Table Grid"/>
    <w:basedOn w:val="Tabelanormal"/>
    <w:uiPriority w:val="59"/>
    <w:rsid w:val="00E93C5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165482"/>
    <w:pPr>
      <w:spacing w:before="120" w:after="120" w:line="360" w:lineRule="auto"/>
      <w:ind w:firstLine="567"/>
      <w:jc w:val="both"/>
    </w:pPr>
    <w:rPr>
      <w:rFonts w:ascii="Calibri" w:eastAsia="Calibri" w:hAnsi="Calibri"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iPriority="99" w:unhideWhenUsed="0"/>
    <w:lsdException w:name="footer" w:semiHidden="0"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iPriority="99"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 Antiqua" w:hAnsi="Book Antiqua"/>
      <w:sz w:val="24"/>
      <w:szCs w:val="24"/>
    </w:rPr>
  </w:style>
  <w:style w:type="paragraph" w:styleId="Ttulo3">
    <w:name w:val="heading 3"/>
    <w:basedOn w:val="Normal"/>
    <w:next w:val="Normal"/>
    <w:link w:val="Ttulo3Char"/>
    <w:semiHidden/>
    <w:unhideWhenUsed/>
    <w:qFormat/>
    <w:rsid w:val="00C83056"/>
    <w:pPr>
      <w:keepNext/>
      <w:spacing w:before="240" w:after="60"/>
      <w:outlineLvl w:val="2"/>
    </w:pPr>
    <w:rPr>
      <w:rFonts w:ascii="Calibri Light" w:hAnsi="Calibri Light"/>
      <w:b/>
      <w:bCs/>
      <w:sz w:val="26"/>
      <w:szCs w:val="26"/>
    </w:rPr>
  </w:style>
  <w:style w:type="paragraph" w:styleId="Ttulo5">
    <w:name w:val="heading 5"/>
    <w:basedOn w:val="Normal"/>
    <w:next w:val="Normal"/>
    <w:link w:val="Ttulo5Char"/>
    <w:semiHidden/>
    <w:unhideWhenUsed/>
    <w:qFormat/>
    <w:rsid w:val="00613D8B"/>
    <w:pPr>
      <w:keepNext/>
      <w:ind w:left="2925" w:right="-398"/>
      <w:jc w:val="both"/>
      <w:outlineLvl w:val="4"/>
    </w:pPr>
    <w:rPr>
      <w:rFonts w:ascii="Graphite Light ATT" w:hAnsi="Graphite Light ATT"/>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semiHidden/>
    <w:rsid w:val="00023CD0"/>
    <w:rPr>
      <w:rFonts w:ascii="Tahoma" w:hAnsi="Tahoma" w:cs="Tahoma"/>
      <w:sz w:val="16"/>
      <w:szCs w:val="16"/>
    </w:rPr>
  </w:style>
  <w:style w:type="paragraph" w:styleId="Recuodecorpodetexto">
    <w:name w:val="Body Text Indent"/>
    <w:basedOn w:val="Normal"/>
    <w:link w:val="RecuodecorpodetextoChar"/>
    <w:rsid w:val="00B12359"/>
    <w:pPr>
      <w:spacing w:after="120"/>
      <w:ind w:left="283"/>
    </w:pPr>
    <w:rPr>
      <w:rFonts w:ascii="Times New Roman" w:hAnsi="Times New Roman"/>
      <w:b/>
      <w:sz w:val="22"/>
      <w:szCs w:val="20"/>
    </w:rPr>
  </w:style>
  <w:style w:type="character" w:styleId="Hyperlink">
    <w:name w:val="Hyperlink"/>
    <w:rsid w:val="006C03AA"/>
    <w:rPr>
      <w:color w:val="0000FF"/>
      <w:u w:val="single"/>
    </w:rPr>
  </w:style>
  <w:style w:type="paragraph" w:styleId="Cabealho">
    <w:name w:val="header"/>
    <w:basedOn w:val="Normal"/>
    <w:link w:val="CabealhoChar"/>
    <w:uiPriority w:val="99"/>
    <w:rsid w:val="009F11A6"/>
    <w:pPr>
      <w:tabs>
        <w:tab w:val="center" w:pos="4252"/>
        <w:tab w:val="right" w:pos="8504"/>
      </w:tabs>
    </w:pPr>
  </w:style>
  <w:style w:type="character" w:customStyle="1" w:styleId="CabealhoChar">
    <w:name w:val="Cabeçalho Char"/>
    <w:link w:val="Cabealho"/>
    <w:uiPriority w:val="99"/>
    <w:rsid w:val="009F11A6"/>
    <w:rPr>
      <w:rFonts w:ascii="Book Antiqua" w:hAnsi="Book Antiqua"/>
      <w:sz w:val="24"/>
      <w:szCs w:val="24"/>
    </w:rPr>
  </w:style>
  <w:style w:type="paragraph" w:styleId="Rodap">
    <w:name w:val="footer"/>
    <w:basedOn w:val="Normal"/>
    <w:link w:val="RodapChar"/>
    <w:rsid w:val="009F11A6"/>
    <w:pPr>
      <w:tabs>
        <w:tab w:val="center" w:pos="4252"/>
        <w:tab w:val="right" w:pos="8504"/>
      </w:tabs>
    </w:pPr>
  </w:style>
  <w:style w:type="character" w:customStyle="1" w:styleId="RodapChar">
    <w:name w:val="Rodapé Char"/>
    <w:link w:val="Rodap"/>
    <w:rsid w:val="009F11A6"/>
    <w:rPr>
      <w:rFonts w:ascii="Book Antiqua" w:hAnsi="Book Antiqua"/>
      <w:sz w:val="24"/>
      <w:szCs w:val="24"/>
    </w:rPr>
  </w:style>
  <w:style w:type="paragraph" w:styleId="SemEspaamento">
    <w:name w:val="No Spacing"/>
    <w:uiPriority w:val="1"/>
    <w:qFormat/>
    <w:rsid w:val="00A93BA0"/>
    <w:rPr>
      <w:rFonts w:ascii="Book Antiqua" w:hAnsi="Book Antiqua"/>
      <w:sz w:val="24"/>
      <w:szCs w:val="24"/>
    </w:rPr>
  </w:style>
  <w:style w:type="character" w:styleId="Forte">
    <w:name w:val="Strong"/>
    <w:qFormat/>
    <w:rsid w:val="00C90D4B"/>
    <w:rPr>
      <w:b/>
      <w:bCs/>
    </w:rPr>
  </w:style>
  <w:style w:type="character" w:customStyle="1" w:styleId="RecuodecorpodetextoChar">
    <w:name w:val="Recuo de corpo de texto Char"/>
    <w:link w:val="Recuodecorpodetexto"/>
    <w:rsid w:val="00DF1ED0"/>
    <w:rPr>
      <w:b/>
      <w:sz w:val="22"/>
    </w:rPr>
  </w:style>
  <w:style w:type="character" w:customStyle="1" w:styleId="Ttulo5Char">
    <w:name w:val="Título 5 Char"/>
    <w:link w:val="Ttulo5"/>
    <w:semiHidden/>
    <w:rsid w:val="00613D8B"/>
    <w:rPr>
      <w:rFonts w:ascii="Graphite Light ATT" w:hAnsi="Graphite Light ATT"/>
      <w:b/>
      <w:bCs/>
    </w:rPr>
  </w:style>
  <w:style w:type="paragraph" w:customStyle="1" w:styleId="Default">
    <w:name w:val="Default"/>
    <w:basedOn w:val="Normal"/>
    <w:rsid w:val="004F4BBB"/>
    <w:pPr>
      <w:suppressAutoHyphens/>
      <w:autoSpaceDE w:val="0"/>
    </w:pPr>
    <w:rPr>
      <w:rFonts w:ascii="CEKEFP+TimesNewRoman" w:eastAsia="CEKEFP+TimesNewRoman" w:hAnsi="CEKEFP+TimesNewRoman" w:cs="CEKEFP+TimesNewRoman"/>
      <w:color w:val="000000"/>
      <w:lang w:eastAsia="hi-IN" w:bidi="hi-IN"/>
    </w:rPr>
  </w:style>
  <w:style w:type="paragraph" w:styleId="Recuodecorpodetexto2">
    <w:name w:val="Body Text Indent 2"/>
    <w:basedOn w:val="Normal"/>
    <w:link w:val="Recuodecorpodetexto2Char"/>
    <w:unhideWhenUsed/>
    <w:rsid w:val="00675AAD"/>
    <w:pPr>
      <w:spacing w:after="120" w:line="480" w:lineRule="auto"/>
      <w:ind w:left="283"/>
    </w:pPr>
  </w:style>
  <w:style w:type="character" w:customStyle="1" w:styleId="Recuodecorpodetexto2Char">
    <w:name w:val="Recuo de corpo de texto 2 Char"/>
    <w:link w:val="Recuodecorpodetexto2"/>
    <w:rsid w:val="00675AAD"/>
    <w:rPr>
      <w:rFonts w:ascii="Book Antiqua" w:hAnsi="Book Antiqua"/>
      <w:sz w:val="24"/>
      <w:szCs w:val="24"/>
    </w:rPr>
  </w:style>
  <w:style w:type="paragraph" w:styleId="Recuodecorpodetexto3">
    <w:name w:val="Body Text Indent 3"/>
    <w:basedOn w:val="Normal"/>
    <w:link w:val="Recuodecorpodetexto3Char"/>
    <w:unhideWhenUsed/>
    <w:rsid w:val="00675AAD"/>
    <w:pPr>
      <w:spacing w:after="120"/>
      <w:ind w:left="283"/>
    </w:pPr>
    <w:rPr>
      <w:sz w:val="16"/>
      <w:szCs w:val="16"/>
    </w:rPr>
  </w:style>
  <w:style w:type="character" w:customStyle="1" w:styleId="Recuodecorpodetexto3Char">
    <w:name w:val="Recuo de corpo de texto 3 Char"/>
    <w:link w:val="Recuodecorpodetexto3"/>
    <w:rsid w:val="00675AAD"/>
    <w:rPr>
      <w:rFonts w:ascii="Book Antiqua" w:hAnsi="Book Antiqua"/>
      <w:sz w:val="16"/>
      <w:szCs w:val="16"/>
    </w:rPr>
  </w:style>
  <w:style w:type="paragraph" w:styleId="Corpodetexto">
    <w:name w:val="Body Text"/>
    <w:basedOn w:val="Normal"/>
    <w:link w:val="CorpodetextoChar"/>
    <w:uiPriority w:val="99"/>
    <w:rsid w:val="00BA3D6B"/>
    <w:pPr>
      <w:spacing w:after="120"/>
    </w:pPr>
  </w:style>
  <w:style w:type="character" w:customStyle="1" w:styleId="CorpodetextoChar">
    <w:name w:val="Corpo de texto Char"/>
    <w:link w:val="Corpodetexto"/>
    <w:uiPriority w:val="99"/>
    <w:rsid w:val="00BA3D6B"/>
    <w:rPr>
      <w:rFonts w:ascii="Book Antiqua" w:hAnsi="Book Antiqua"/>
      <w:sz w:val="24"/>
      <w:szCs w:val="24"/>
    </w:rPr>
  </w:style>
  <w:style w:type="paragraph" w:styleId="Corpodetexto3">
    <w:name w:val="Body Text 3"/>
    <w:basedOn w:val="Normal"/>
    <w:link w:val="Corpodetexto3Char"/>
    <w:rsid w:val="00A8243A"/>
    <w:pPr>
      <w:spacing w:after="120"/>
    </w:pPr>
    <w:rPr>
      <w:sz w:val="16"/>
      <w:szCs w:val="16"/>
    </w:rPr>
  </w:style>
  <w:style w:type="character" w:customStyle="1" w:styleId="Corpodetexto3Char">
    <w:name w:val="Corpo de texto 3 Char"/>
    <w:link w:val="Corpodetexto3"/>
    <w:rsid w:val="00A8243A"/>
    <w:rPr>
      <w:rFonts w:ascii="Book Antiqua" w:hAnsi="Book Antiqua"/>
      <w:sz w:val="16"/>
      <w:szCs w:val="16"/>
    </w:rPr>
  </w:style>
  <w:style w:type="paragraph" w:styleId="Textoembloco">
    <w:name w:val="Block Text"/>
    <w:basedOn w:val="Normal"/>
    <w:unhideWhenUsed/>
    <w:rsid w:val="00A8243A"/>
    <w:pPr>
      <w:ind w:left="4536" w:right="-313"/>
      <w:jc w:val="both"/>
    </w:pPr>
    <w:rPr>
      <w:rFonts w:ascii="Times New Roman" w:hAnsi="Times New Roman"/>
      <w:b/>
      <w:sz w:val="22"/>
      <w:szCs w:val="20"/>
    </w:rPr>
  </w:style>
  <w:style w:type="paragraph" w:styleId="TextosemFormatao">
    <w:name w:val="Plain Text"/>
    <w:basedOn w:val="Normal"/>
    <w:link w:val="TextosemFormataoChar"/>
    <w:unhideWhenUsed/>
    <w:rsid w:val="004E67ED"/>
    <w:rPr>
      <w:rFonts w:ascii="Courier New" w:hAnsi="Courier New"/>
      <w:sz w:val="20"/>
      <w:szCs w:val="20"/>
    </w:rPr>
  </w:style>
  <w:style w:type="character" w:customStyle="1" w:styleId="TextosemFormataoChar">
    <w:name w:val="Texto sem Formatação Char"/>
    <w:link w:val="TextosemFormatao"/>
    <w:rsid w:val="004E67ED"/>
    <w:rPr>
      <w:rFonts w:ascii="Courier New" w:hAnsi="Courier New"/>
    </w:rPr>
  </w:style>
  <w:style w:type="character" w:customStyle="1" w:styleId="highlightedsearchterm">
    <w:name w:val="highlightedsearchterm"/>
    <w:rsid w:val="005A25B3"/>
  </w:style>
  <w:style w:type="character" w:customStyle="1" w:styleId="Ttulo3Char">
    <w:name w:val="Título 3 Char"/>
    <w:link w:val="Ttulo3"/>
    <w:semiHidden/>
    <w:rsid w:val="00C83056"/>
    <w:rPr>
      <w:rFonts w:ascii="Calibri Light" w:eastAsia="Times New Roman" w:hAnsi="Calibri Light" w:cs="Times New Roman"/>
      <w:b/>
      <w:bCs/>
      <w:sz w:val="26"/>
      <w:szCs w:val="26"/>
    </w:rPr>
  </w:style>
  <w:style w:type="paragraph" w:styleId="Corpodetexto2">
    <w:name w:val="Body Text 2"/>
    <w:basedOn w:val="Normal"/>
    <w:link w:val="Corpodetexto2Char"/>
    <w:rsid w:val="00C83056"/>
    <w:pPr>
      <w:spacing w:after="120" w:line="480" w:lineRule="auto"/>
    </w:pPr>
  </w:style>
  <w:style w:type="character" w:customStyle="1" w:styleId="Corpodetexto2Char">
    <w:name w:val="Corpo de texto 2 Char"/>
    <w:link w:val="Corpodetexto2"/>
    <w:rsid w:val="00C83056"/>
    <w:rPr>
      <w:rFonts w:ascii="Book Antiqua" w:hAnsi="Book Antiqua"/>
      <w:sz w:val="24"/>
      <w:szCs w:val="24"/>
    </w:rPr>
  </w:style>
  <w:style w:type="table" w:styleId="Tabelacomgrade">
    <w:name w:val="Table Grid"/>
    <w:basedOn w:val="Tabelanormal"/>
    <w:uiPriority w:val="59"/>
    <w:rsid w:val="00E93C5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165482"/>
    <w:pPr>
      <w:spacing w:before="120" w:after="120" w:line="360" w:lineRule="auto"/>
      <w:ind w:firstLine="567"/>
      <w:jc w:val="both"/>
    </w:pPr>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47546">
      <w:bodyDiv w:val="1"/>
      <w:marLeft w:val="0"/>
      <w:marRight w:val="0"/>
      <w:marTop w:val="0"/>
      <w:marBottom w:val="0"/>
      <w:divBdr>
        <w:top w:val="none" w:sz="0" w:space="0" w:color="auto"/>
        <w:left w:val="none" w:sz="0" w:space="0" w:color="auto"/>
        <w:bottom w:val="none" w:sz="0" w:space="0" w:color="auto"/>
        <w:right w:val="none" w:sz="0" w:space="0" w:color="auto"/>
      </w:divBdr>
    </w:div>
    <w:div w:id="191109963">
      <w:bodyDiv w:val="1"/>
      <w:marLeft w:val="0"/>
      <w:marRight w:val="0"/>
      <w:marTop w:val="0"/>
      <w:marBottom w:val="0"/>
      <w:divBdr>
        <w:top w:val="none" w:sz="0" w:space="0" w:color="auto"/>
        <w:left w:val="none" w:sz="0" w:space="0" w:color="auto"/>
        <w:bottom w:val="none" w:sz="0" w:space="0" w:color="auto"/>
        <w:right w:val="none" w:sz="0" w:space="0" w:color="auto"/>
      </w:divBdr>
    </w:div>
    <w:div w:id="234366471">
      <w:bodyDiv w:val="1"/>
      <w:marLeft w:val="0"/>
      <w:marRight w:val="0"/>
      <w:marTop w:val="0"/>
      <w:marBottom w:val="0"/>
      <w:divBdr>
        <w:top w:val="none" w:sz="0" w:space="0" w:color="auto"/>
        <w:left w:val="none" w:sz="0" w:space="0" w:color="auto"/>
        <w:bottom w:val="none" w:sz="0" w:space="0" w:color="auto"/>
        <w:right w:val="none" w:sz="0" w:space="0" w:color="auto"/>
      </w:divBdr>
    </w:div>
    <w:div w:id="269817342">
      <w:bodyDiv w:val="1"/>
      <w:marLeft w:val="0"/>
      <w:marRight w:val="0"/>
      <w:marTop w:val="0"/>
      <w:marBottom w:val="0"/>
      <w:divBdr>
        <w:top w:val="none" w:sz="0" w:space="0" w:color="auto"/>
        <w:left w:val="none" w:sz="0" w:space="0" w:color="auto"/>
        <w:bottom w:val="none" w:sz="0" w:space="0" w:color="auto"/>
        <w:right w:val="none" w:sz="0" w:space="0" w:color="auto"/>
      </w:divBdr>
    </w:div>
    <w:div w:id="399720775">
      <w:bodyDiv w:val="1"/>
      <w:marLeft w:val="0"/>
      <w:marRight w:val="0"/>
      <w:marTop w:val="0"/>
      <w:marBottom w:val="0"/>
      <w:divBdr>
        <w:top w:val="none" w:sz="0" w:space="0" w:color="auto"/>
        <w:left w:val="none" w:sz="0" w:space="0" w:color="auto"/>
        <w:bottom w:val="none" w:sz="0" w:space="0" w:color="auto"/>
        <w:right w:val="none" w:sz="0" w:space="0" w:color="auto"/>
      </w:divBdr>
    </w:div>
    <w:div w:id="617486795">
      <w:bodyDiv w:val="1"/>
      <w:marLeft w:val="0"/>
      <w:marRight w:val="0"/>
      <w:marTop w:val="0"/>
      <w:marBottom w:val="0"/>
      <w:divBdr>
        <w:top w:val="none" w:sz="0" w:space="0" w:color="auto"/>
        <w:left w:val="none" w:sz="0" w:space="0" w:color="auto"/>
        <w:bottom w:val="none" w:sz="0" w:space="0" w:color="auto"/>
        <w:right w:val="none" w:sz="0" w:space="0" w:color="auto"/>
      </w:divBdr>
    </w:div>
    <w:div w:id="662313855">
      <w:bodyDiv w:val="1"/>
      <w:marLeft w:val="0"/>
      <w:marRight w:val="0"/>
      <w:marTop w:val="0"/>
      <w:marBottom w:val="0"/>
      <w:divBdr>
        <w:top w:val="none" w:sz="0" w:space="0" w:color="auto"/>
        <w:left w:val="none" w:sz="0" w:space="0" w:color="auto"/>
        <w:bottom w:val="none" w:sz="0" w:space="0" w:color="auto"/>
        <w:right w:val="none" w:sz="0" w:space="0" w:color="auto"/>
      </w:divBdr>
    </w:div>
    <w:div w:id="1153445900">
      <w:bodyDiv w:val="1"/>
      <w:marLeft w:val="0"/>
      <w:marRight w:val="0"/>
      <w:marTop w:val="0"/>
      <w:marBottom w:val="0"/>
      <w:divBdr>
        <w:top w:val="none" w:sz="0" w:space="0" w:color="auto"/>
        <w:left w:val="none" w:sz="0" w:space="0" w:color="auto"/>
        <w:bottom w:val="none" w:sz="0" w:space="0" w:color="auto"/>
        <w:right w:val="none" w:sz="0" w:space="0" w:color="auto"/>
      </w:divBdr>
    </w:div>
    <w:div w:id="1273828609">
      <w:bodyDiv w:val="1"/>
      <w:marLeft w:val="0"/>
      <w:marRight w:val="0"/>
      <w:marTop w:val="0"/>
      <w:marBottom w:val="0"/>
      <w:divBdr>
        <w:top w:val="none" w:sz="0" w:space="0" w:color="auto"/>
        <w:left w:val="none" w:sz="0" w:space="0" w:color="auto"/>
        <w:bottom w:val="none" w:sz="0" w:space="0" w:color="auto"/>
        <w:right w:val="none" w:sz="0" w:space="0" w:color="auto"/>
      </w:divBdr>
    </w:div>
    <w:div w:id="1390954458">
      <w:bodyDiv w:val="1"/>
      <w:marLeft w:val="0"/>
      <w:marRight w:val="0"/>
      <w:marTop w:val="0"/>
      <w:marBottom w:val="0"/>
      <w:divBdr>
        <w:top w:val="none" w:sz="0" w:space="0" w:color="auto"/>
        <w:left w:val="none" w:sz="0" w:space="0" w:color="auto"/>
        <w:bottom w:val="none" w:sz="0" w:space="0" w:color="auto"/>
        <w:right w:val="none" w:sz="0" w:space="0" w:color="auto"/>
      </w:divBdr>
    </w:div>
    <w:div w:id="1583294670">
      <w:bodyDiv w:val="1"/>
      <w:marLeft w:val="0"/>
      <w:marRight w:val="0"/>
      <w:marTop w:val="0"/>
      <w:marBottom w:val="0"/>
      <w:divBdr>
        <w:top w:val="none" w:sz="0" w:space="0" w:color="auto"/>
        <w:left w:val="none" w:sz="0" w:space="0" w:color="auto"/>
        <w:bottom w:val="none" w:sz="0" w:space="0" w:color="auto"/>
        <w:right w:val="none" w:sz="0" w:space="0" w:color="auto"/>
      </w:divBdr>
    </w:div>
    <w:div w:id="1727143979">
      <w:bodyDiv w:val="1"/>
      <w:marLeft w:val="0"/>
      <w:marRight w:val="0"/>
      <w:marTop w:val="0"/>
      <w:marBottom w:val="0"/>
      <w:divBdr>
        <w:top w:val="none" w:sz="0" w:space="0" w:color="auto"/>
        <w:left w:val="none" w:sz="0" w:space="0" w:color="auto"/>
        <w:bottom w:val="none" w:sz="0" w:space="0" w:color="auto"/>
        <w:right w:val="none" w:sz="0" w:space="0" w:color="auto"/>
      </w:divBdr>
    </w:div>
    <w:div w:id="1756392904">
      <w:bodyDiv w:val="1"/>
      <w:marLeft w:val="0"/>
      <w:marRight w:val="0"/>
      <w:marTop w:val="0"/>
      <w:marBottom w:val="0"/>
      <w:divBdr>
        <w:top w:val="none" w:sz="0" w:space="0" w:color="auto"/>
        <w:left w:val="none" w:sz="0" w:space="0" w:color="auto"/>
        <w:bottom w:val="none" w:sz="0" w:space="0" w:color="auto"/>
        <w:right w:val="none" w:sz="0" w:space="0" w:color="auto"/>
      </w:divBdr>
    </w:div>
    <w:div w:id="1870333892">
      <w:bodyDiv w:val="1"/>
      <w:marLeft w:val="0"/>
      <w:marRight w:val="0"/>
      <w:marTop w:val="0"/>
      <w:marBottom w:val="0"/>
      <w:divBdr>
        <w:top w:val="none" w:sz="0" w:space="0" w:color="auto"/>
        <w:left w:val="none" w:sz="0" w:space="0" w:color="auto"/>
        <w:bottom w:val="none" w:sz="0" w:space="0" w:color="auto"/>
        <w:right w:val="none" w:sz="0" w:space="0" w:color="auto"/>
      </w:divBdr>
    </w:div>
    <w:div w:id="1888255997">
      <w:bodyDiv w:val="1"/>
      <w:marLeft w:val="0"/>
      <w:marRight w:val="0"/>
      <w:marTop w:val="0"/>
      <w:marBottom w:val="0"/>
      <w:divBdr>
        <w:top w:val="none" w:sz="0" w:space="0" w:color="auto"/>
        <w:left w:val="none" w:sz="0" w:space="0" w:color="auto"/>
        <w:bottom w:val="none" w:sz="0" w:space="0" w:color="auto"/>
        <w:right w:val="none" w:sz="0" w:space="0" w:color="auto"/>
      </w:divBdr>
    </w:div>
    <w:div w:id="1983658567">
      <w:bodyDiv w:val="1"/>
      <w:marLeft w:val="0"/>
      <w:marRight w:val="0"/>
      <w:marTop w:val="0"/>
      <w:marBottom w:val="0"/>
      <w:divBdr>
        <w:top w:val="none" w:sz="0" w:space="0" w:color="auto"/>
        <w:left w:val="none" w:sz="0" w:space="0" w:color="auto"/>
        <w:bottom w:val="none" w:sz="0" w:space="0" w:color="auto"/>
        <w:right w:val="none" w:sz="0" w:space="0" w:color="auto"/>
      </w:divBdr>
    </w:div>
    <w:div w:id="2004507467">
      <w:bodyDiv w:val="1"/>
      <w:marLeft w:val="0"/>
      <w:marRight w:val="0"/>
      <w:marTop w:val="0"/>
      <w:marBottom w:val="0"/>
      <w:divBdr>
        <w:top w:val="none" w:sz="0" w:space="0" w:color="auto"/>
        <w:left w:val="none" w:sz="0" w:space="0" w:color="auto"/>
        <w:bottom w:val="none" w:sz="0" w:space="0" w:color="auto"/>
        <w:right w:val="none" w:sz="0" w:space="0" w:color="auto"/>
      </w:divBdr>
    </w:div>
    <w:div w:id="2011251053">
      <w:bodyDiv w:val="1"/>
      <w:marLeft w:val="0"/>
      <w:marRight w:val="0"/>
      <w:marTop w:val="0"/>
      <w:marBottom w:val="0"/>
      <w:divBdr>
        <w:top w:val="none" w:sz="0" w:space="0" w:color="auto"/>
        <w:left w:val="none" w:sz="0" w:space="0" w:color="auto"/>
        <w:bottom w:val="none" w:sz="0" w:space="0" w:color="auto"/>
        <w:right w:val="none" w:sz="0" w:space="0" w:color="auto"/>
      </w:divBdr>
    </w:div>
    <w:div w:id="214704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conomia.ig.com.br/2019-03-25/pib-2019-2020.html" TargetMode="External"/><Relationship Id="rId4" Type="http://schemas.microsoft.com/office/2007/relationships/stylesWithEffects" Target="stylesWithEffects.xml"/><Relationship Id="rId9" Type="http://schemas.openxmlformats.org/officeDocument/2006/relationships/hyperlink" Target="https://www.valor.com.br/brasil/6186129/bc-ve-inflacao-de-41-em-2019-e-de-4-em-2020"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ISTIANO%20ADM\Desktop\LEIS%20MUNICIPAIS%202019\LEI%20MUNICIPAL%20N&#186;%202763-%20DA%20NOME%20A%20RUA%20DANILO%20VACAR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DF871-D8E1-448B-B24D-4541223E1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LEI MUNICIPAL Nº 2763- DA NOME A RUA DANILO VACARO</Template>
  <TotalTime>0</TotalTime>
  <Pages>37</Pages>
  <Words>11169</Words>
  <Characters>60315</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São Valentim, 02 de julho de 2007</vt:lpstr>
    </vt:vector>
  </TitlesOfParts>
  <Company>home</Company>
  <LinksUpToDate>false</LinksUpToDate>
  <CharactersWithSpaces>71342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São Valentim, 02 de julho de 2007</dc:title>
  <dc:creator>CRISTIANO ADM</dc:creator>
  <cp:lastModifiedBy>CRISTIANO ADM</cp:lastModifiedBy>
  <cp:revision>2</cp:revision>
  <cp:lastPrinted>2019-09-24T11:54:00Z</cp:lastPrinted>
  <dcterms:created xsi:type="dcterms:W3CDTF">2019-09-24T11:58:00Z</dcterms:created>
  <dcterms:modified xsi:type="dcterms:W3CDTF">2019-09-24T11:58:00Z</dcterms:modified>
</cp:coreProperties>
</file>